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4AD" w:rsidRDefault="003034AD" w:rsidP="003034A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АБДУЛЛИНА ОЛЕСЯ АЙРАТОВНА </w:t>
      </w:r>
    </w:p>
    <w:p w:rsidR="003034AD" w:rsidRDefault="003034AD" w:rsidP="003034A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начальных классов </w:t>
      </w:r>
    </w:p>
    <w:p w:rsidR="003034AD" w:rsidRDefault="003034AD" w:rsidP="003034A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МАОУ СОШ №8 город Белебей Республики Башкортостан</w:t>
      </w:r>
    </w:p>
    <w:p w:rsidR="003034AD" w:rsidRDefault="003034AD" w:rsidP="003034A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6BF">
        <w:rPr>
          <w:rFonts w:ascii="Times New Roman" w:hAnsi="Times New Roman" w:cs="Times New Roman"/>
          <w:b/>
          <w:sz w:val="28"/>
          <w:szCs w:val="28"/>
        </w:rPr>
        <w:t>ПРАЗДНИК «ДЕТСКИЙ САБАНТУЙ»</w:t>
      </w:r>
    </w:p>
    <w:p w:rsidR="003034AD" w:rsidRDefault="003034AD" w:rsidP="003034A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3034AD" w:rsidRPr="005579BD" w:rsidRDefault="003034AD" w:rsidP="003034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Актуальность. Я учитель начальных классов, детям своего класса во время внеурочной деятельности стараюсь включать цикл занятий по традиционным и народным праздникам. Мир детства не может быть без игр. Игра в жизни ребенка – это радость, забава, соревнование. С помощью народных игр мы знакомим учащихся с особенностями жизни, традиций своего народа, своей страны. Самым интересным и любимым праздником у детей является Сабантуй. </w:t>
      </w:r>
      <w:r w:rsidRPr="005579BD">
        <w:rPr>
          <w:rFonts w:ascii="Times New Roman" w:hAnsi="Times New Roman" w:cs="Times New Roman"/>
          <w:sz w:val="28"/>
          <w:szCs w:val="28"/>
        </w:rPr>
        <w:t xml:space="preserve">Это очень добрый, мудрый, красивый праздник. 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Цель. Знакомство учащихся с традициями и обычаями своего народа; дать представление о празднике «сабантуй»; вызвать желание и интерес участвовать в соревнованиях.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Задачи. </w:t>
      </w:r>
      <w:proofErr w:type="gramStart"/>
      <w:r>
        <w:rPr>
          <w:sz w:val="28"/>
          <w:szCs w:val="28"/>
        </w:rPr>
        <w:t>Развитие интереса к народным играм, творческих способностей  детей (придумывание разных игр, усложнение движений); Совершенствовать двигательные умения и навыки детей; Формирование правильную осанку, умение выполнять движения красиво, ловко, быстро, осознанно; Расширение представлений детей о родной стране, о народных праздниках; Воспитывать любовь к родному краю, к Родине; Воспитывать любовь и интерес к спорту, красоту, выразительность движений.</w:t>
      </w:r>
      <w:proofErr w:type="gramEnd"/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Данный сценарий способствует формированию национальной культуры учащихся, появлению спортивных увлечений и создания хорошего настроения. Рекомендуется для учащихся 1-4 классов.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Оборудование: в центре надпись «Детский сабантуй», шары, в центре флагшток, для поднятия флага, все секции для игр разделены флажками, музыка – фанфары, гимн,  для игр: 2деревянные лошадки; 2 ложки и яйца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3-4 на всякий случай), канат, 2 мешка, 2 подушки, 2 галоши, 2 кегли, 2 гири, для поздравления: грамоты, дипломы, сувениры. 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Сценарий мероприятия.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1.ведущий. Здравствуйте, уважаемые гости, дорогие друзья! Сегодня мы приветствуем Вас на традиционном празднике башкирского народа – веселом Сабантуе!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2.ведущий. Над горами и полями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Башкирии – </w:t>
      </w:r>
      <w:proofErr w:type="gramStart"/>
      <w:r>
        <w:rPr>
          <w:sz w:val="28"/>
          <w:szCs w:val="28"/>
        </w:rPr>
        <w:t>родимый</w:t>
      </w:r>
      <w:proofErr w:type="gramEnd"/>
      <w:r>
        <w:rPr>
          <w:sz w:val="28"/>
          <w:szCs w:val="28"/>
        </w:rPr>
        <w:t xml:space="preserve"> стороны –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Сабантуй вздымает в небо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Знамя мира, труда и мечты.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1.ведущий. Под солнцем мира и свободы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Цвети Башкирия моя!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 тобою братские народы – 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Опора верная твоя.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2.ведущий. Праздник Сабантуя объявляется открытым!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1.ведущий. (Гимн). Право поднять Флаг Сабантуя предоставляется отличнику ….. школы ученику……класса …….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2.ведущий. Гвоздь программы – чествование хорошистов школы.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Труд вам вдохновенный с огоньком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Городам и селам очень </w:t>
      </w:r>
      <w:proofErr w:type="gramStart"/>
      <w:r>
        <w:rPr>
          <w:sz w:val="28"/>
          <w:szCs w:val="28"/>
        </w:rPr>
        <w:t>нужен</w:t>
      </w:r>
      <w:proofErr w:type="gramEnd"/>
      <w:r>
        <w:rPr>
          <w:sz w:val="28"/>
          <w:szCs w:val="28"/>
        </w:rPr>
        <w:t>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Чтобы расцветало все кругом 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Край любимый мой башкирский.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1.ведущий. Там борцы схватились поясами,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Тут танцоры в танце обнялись,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Но лишь пыль кружит над головами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Конники майданом пронеслись. (Участники на скачки)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2.ведущий. Шум веселья над полями –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Веселись, батыр, ликуй!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Всем народам дарит радость</w:t>
      </w:r>
    </w:p>
    <w:p w:rsidR="003034AD" w:rsidRDefault="003034AD" w:rsidP="003034AD">
      <w:pPr>
        <w:pStyle w:val="a4"/>
        <w:spacing w:line="360" w:lineRule="auto"/>
        <w:ind w:left="708" w:firstLine="708"/>
        <w:rPr>
          <w:sz w:val="28"/>
          <w:szCs w:val="28"/>
        </w:rPr>
      </w:pPr>
      <w:r>
        <w:rPr>
          <w:sz w:val="28"/>
          <w:szCs w:val="28"/>
        </w:rPr>
        <w:t>Славный праздник Сабантуй! (Конкурс «Не разбей яйцо»)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1.ведущий. Нас Отчизна породила,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Дружба как гранит крепка,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 этой дружбе наша сила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Наша дружба на века. ( Конкурс «</w:t>
      </w:r>
      <w:proofErr w:type="spellStart"/>
      <w:r>
        <w:rPr>
          <w:sz w:val="28"/>
          <w:szCs w:val="28"/>
        </w:rPr>
        <w:t>Перетягивание</w:t>
      </w:r>
      <w:proofErr w:type="spellEnd"/>
      <w:r>
        <w:rPr>
          <w:sz w:val="28"/>
          <w:szCs w:val="28"/>
        </w:rPr>
        <w:t xml:space="preserve"> каната»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2.ведущий. Поле. Музыка. Толпа.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На ковре идет борьба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А под хохот до флажка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Скачут, скачут два мешка.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1.ведущий. Льется пот, едва дышу –</w:t>
      </w:r>
    </w:p>
    <w:p w:rsidR="003034AD" w:rsidRDefault="003034AD" w:rsidP="003034AD">
      <w:pPr>
        <w:pStyle w:val="a4"/>
        <w:spacing w:line="360" w:lineRule="auto"/>
        <w:ind w:left="708" w:firstLine="708"/>
        <w:rPr>
          <w:sz w:val="28"/>
          <w:szCs w:val="28"/>
        </w:rPr>
      </w:pPr>
      <w:r>
        <w:rPr>
          <w:sz w:val="28"/>
          <w:szCs w:val="28"/>
        </w:rPr>
        <w:t>На столбе верхом сижу!</w:t>
      </w:r>
    </w:p>
    <w:p w:rsidR="003034AD" w:rsidRDefault="003034AD" w:rsidP="003034AD">
      <w:pPr>
        <w:pStyle w:val="a4"/>
        <w:spacing w:line="360" w:lineRule="auto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Люди хлопают в ладоши, </w:t>
      </w:r>
    </w:p>
    <w:p w:rsidR="003034AD" w:rsidRDefault="003034AD" w:rsidP="003034AD">
      <w:pPr>
        <w:pStyle w:val="a4"/>
        <w:spacing w:line="360" w:lineRule="auto"/>
        <w:ind w:left="708" w:firstLine="708"/>
        <w:rPr>
          <w:sz w:val="28"/>
          <w:szCs w:val="28"/>
        </w:rPr>
      </w:pPr>
      <w:r>
        <w:rPr>
          <w:sz w:val="28"/>
          <w:szCs w:val="28"/>
        </w:rPr>
        <w:t>Мой сосед захлопал тоже. (Борьба с мешками на бревне)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2.ведущий. Мягко топают копыта,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Ловят девушку джигиты,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Не успела </w:t>
      </w:r>
      <w:proofErr w:type="spellStart"/>
      <w:r>
        <w:rPr>
          <w:sz w:val="28"/>
          <w:szCs w:val="28"/>
        </w:rPr>
        <w:t>ой-ля-ля</w:t>
      </w:r>
      <w:proofErr w:type="spellEnd"/>
      <w:r>
        <w:rPr>
          <w:sz w:val="28"/>
          <w:szCs w:val="28"/>
        </w:rPr>
        <w:t>!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Увернуться </w:t>
      </w:r>
      <w:proofErr w:type="spellStart"/>
      <w:r>
        <w:rPr>
          <w:sz w:val="28"/>
          <w:szCs w:val="28"/>
        </w:rPr>
        <w:t>Джамиля</w:t>
      </w:r>
      <w:proofErr w:type="spellEnd"/>
      <w:r>
        <w:rPr>
          <w:sz w:val="28"/>
          <w:szCs w:val="28"/>
        </w:rPr>
        <w:t>! (Бег с большими галошами)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1.ведущий. Праздник </w:t>
      </w:r>
      <w:proofErr w:type="gramStart"/>
      <w:r>
        <w:rPr>
          <w:sz w:val="28"/>
          <w:szCs w:val="28"/>
        </w:rPr>
        <w:t>смелых</w:t>
      </w:r>
      <w:proofErr w:type="gramEnd"/>
      <w:r>
        <w:rPr>
          <w:sz w:val="28"/>
          <w:szCs w:val="28"/>
        </w:rPr>
        <w:t>, ловких, сильных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Выходи джигит на круг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Покажи сноровку, силу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И умение, мой друг. ( Конкурс «Сбить кегли»)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2.ведущий. Мне не надо, мне не надо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Ни подарка, ни награды,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Мне бы только стать джигитом</w:t>
      </w:r>
    </w:p>
    <w:p w:rsidR="003034AD" w:rsidRDefault="003034AD" w:rsidP="003034AD">
      <w:pPr>
        <w:pStyle w:val="a4"/>
        <w:spacing w:line="360" w:lineRule="auto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Настоящим, знаменитым!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конкурс «Поднятие гири»)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1.ведущий. Наш праздник к концу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Желаю вам, чтоб жизнь кипела,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Чтоб так и не пришла усталости пора,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Чтоб спорилось любое дело,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Чтоб завтра было лучше, чем вчера.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2.ведущий. Пусть сбудутся заветные мечты,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И стороной обходят все ненастья.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А мы желаем вам от всей души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Здоровья, бодрости и счастья!</w:t>
      </w:r>
    </w:p>
    <w:p w:rsidR="003034AD" w:rsidRDefault="003034AD" w:rsidP="003034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Литература и источники:</w:t>
      </w:r>
    </w:p>
    <w:p w:rsidR="003034AD" w:rsidRPr="00703575" w:rsidRDefault="003034AD" w:rsidP="003034AD">
      <w:pPr>
        <w:pStyle w:val="a4"/>
        <w:numPr>
          <w:ilvl w:val="0"/>
          <w:numId w:val="1"/>
        </w:numPr>
      </w:pPr>
      <w:hyperlink r:id="rId5" w:history="1">
        <w:r w:rsidRPr="00703575">
          <w:rPr>
            <w:rStyle w:val="a5"/>
          </w:rPr>
          <w:t>http://www.megadomoz.ru/article/694/202/1/</w:t>
        </w:r>
      </w:hyperlink>
    </w:p>
    <w:p w:rsidR="003034AD" w:rsidRPr="00703575" w:rsidRDefault="003034AD" w:rsidP="003034AD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3575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Шипова</w:t>
      </w:r>
      <w:proofErr w:type="spellEnd"/>
      <w:r w:rsidRPr="00703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 И. Словарь тюркизмов в русском языке. Алма-Ата: Наука, 1976, С. 268. </w:t>
      </w:r>
    </w:p>
    <w:p w:rsidR="003034AD" w:rsidRPr="00703575" w:rsidRDefault="003034AD" w:rsidP="003034AD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03575">
        <w:rPr>
          <w:rFonts w:ascii="Times New Roman" w:hAnsi="Times New Roman" w:cs="Times New Roman"/>
          <w:i/>
          <w:iCs/>
          <w:sz w:val="24"/>
          <w:szCs w:val="24"/>
        </w:rPr>
        <w:t>Уразманова</w:t>
      </w:r>
      <w:proofErr w:type="spellEnd"/>
      <w:r w:rsidRPr="00703575">
        <w:rPr>
          <w:rFonts w:ascii="Times New Roman" w:hAnsi="Times New Roman" w:cs="Times New Roman"/>
          <w:i/>
          <w:iCs/>
          <w:sz w:val="24"/>
          <w:szCs w:val="24"/>
        </w:rPr>
        <w:t xml:space="preserve"> Р. К.</w:t>
      </w:r>
      <w:r w:rsidRPr="00703575">
        <w:rPr>
          <w:rFonts w:ascii="Times New Roman" w:hAnsi="Times New Roman" w:cs="Times New Roman"/>
          <w:sz w:val="24"/>
          <w:szCs w:val="24"/>
        </w:rPr>
        <w:t xml:space="preserve"> Обряды и праздники татар Поволжья и Урала (Годовой цикл.</w:t>
      </w:r>
      <w:proofErr w:type="gramEnd"/>
      <w:r w:rsidRPr="00703575">
        <w:rPr>
          <w:rFonts w:ascii="Times New Roman" w:hAnsi="Times New Roman" w:cs="Times New Roman"/>
          <w:sz w:val="24"/>
          <w:szCs w:val="24"/>
        </w:rPr>
        <w:t xml:space="preserve"> XIX — </w:t>
      </w:r>
      <w:proofErr w:type="spellStart"/>
      <w:r w:rsidRPr="00703575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70357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03575">
        <w:rPr>
          <w:rFonts w:ascii="Times New Roman" w:hAnsi="Times New Roman" w:cs="Times New Roman"/>
          <w:sz w:val="24"/>
          <w:szCs w:val="24"/>
        </w:rPr>
        <w:t>XX века).</w:t>
      </w:r>
      <w:proofErr w:type="gramEnd"/>
      <w:r w:rsidRPr="00703575">
        <w:rPr>
          <w:rFonts w:ascii="Times New Roman" w:hAnsi="Times New Roman" w:cs="Times New Roman"/>
          <w:sz w:val="24"/>
          <w:szCs w:val="24"/>
        </w:rPr>
        <w:t xml:space="preserve"> Историко-этнографический атлас татарского народа. Казань: Изд-во ПИК «Дом печати», 2001. С. 50., </w:t>
      </w:r>
      <w:proofErr w:type="spellStart"/>
      <w:r w:rsidRPr="00703575">
        <w:rPr>
          <w:rFonts w:ascii="Times New Roman" w:hAnsi="Times New Roman" w:cs="Times New Roman"/>
          <w:i/>
          <w:iCs/>
          <w:sz w:val="24"/>
          <w:szCs w:val="24"/>
        </w:rPr>
        <w:t>Никишенков</w:t>
      </w:r>
      <w:proofErr w:type="spellEnd"/>
      <w:r w:rsidRPr="00703575">
        <w:rPr>
          <w:rFonts w:ascii="Times New Roman" w:hAnsi="Times New Roman" w:cs="Times New Roman"/>
          <w:i/>
          <w:iCs/>
          <w:sz w:val="24"/>
          <w:szCs w:val="24"/>
        </w:rPr>
        <w:t xml:space="preserve"> А. А.</w:t>
      </w:r>
      <w:r w:rsidRPr="00703575">
        <w:rPr>
          <w:rFonts w:ascii="Times New Roman" w:hAnsi="Times New Roman" w:cs="Times New Roman"/>
          <w:sz w:val="24"/>
          <w:szCs w:val="24"/>
        </w:rPr>
        <w:t xml:space="preserve"> Традиционный этикет народов России. XIX — начало ХХ вв. М.: Старый сад, 1999, С.77, </w:t>
      </w:r>
      <w:proofErr w:type="spellStart"/>
      <w:r w:rsidRPr="00703575">
        <w:rPr>
          <w:rFonts w:ascii="Times New Roman" w:hAnsi="Times New Roman" w:cs="Times New Roman"/>
          <w:i/>
          <w:iCs/>
          <w:sz w:val="24"/>
          <w:szCs w:val="24"/>
        </w:rPr>
        <w:t>Кучемезов</w:t>
      </w:r>
      <w:proofErr w:type="spellEnd"/>
      <w:r w:rsidRPr="00703575">
        <w:rPr>
          <w:rFonts w:ascii="Times New Roman" w:hAnsi="Times New Roman" w:cs="Times New Roman"/>
          <w:i/>
          <w:iCs/>
          <w:sz w:val="24"/>
          <w:szCs w:val="24"/>
        </w:rPr>
        <w:t xml:space="preserve"> Б. Х.</w:t>
      </w:r>
      <w:r w:rsidRPr="00703575">
        <w:rPr>
          <w:rFonts w:ascii="Times New Roman" w:hAnsi="Times New Roman" w:cs="Times New Roman"/>
          <w:sz w:val="24"/>
          <w:szCs w:val="24"/>
        </w:rPr>
        <w:t xml:space="preserve"> Земледелие у балкарцев.</w:t>
      </w:r>
    </w:p>
    <w:p w:rsidR="003034AD" w:rsidRPr="00703575" w:rsidRDefault="003034AD" w:rsidP="003034AD">
      <w:pPr>
        <w:pStyle w:val="a4"/>
        <w:numPr>
          <w:ilvl w:val="0"/>
          <w:numId w:val="1"/>
        </w:numPr>
      </w:pPr>
      <w:r w:rsidRPr="00703575">
        <w:t xml:space="preserve">//Этнографическое обозрение. 2001, № 1. С. 73.  </w:t>
      </w:r>
    </w:p>
    <w:p w:rsidR="00C63B84" w:rsidRDefault="00C63B84"/>
    <w:sectPr w:rsidR="00C63B84" w:rsidSect="00675B7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80C4E"/>
    <w:multiLevelType w:val="hybridMultilevel"/>
    <w:tmpl w:val="B0EE143C"/>
    <w:lvl w:ilvl="0" w:tplc="9C9C75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34AD"/>
    <w:rsid w:val="003034AD"/>
    <w:rsid w:val="00C63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4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03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034A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034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egadomoz.ru/article/694/202/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670</Words>
  <Characters>3823</Characters>
  <Application>Microsoft Office Word</Application>
  <DocSecurity>0</DocSecurity>
  <Lines>31</Lines>
  <Paragraphs>8</Paragraphs>
  <ScaleCrop>false</ScaleCrop>
  <Company>Ya Blondinko Edition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01</cp:lastModifiedBy>
  <cp:revision>1</cp:revision>
  <dcterms:created xsi:type="dcterms:W3CDTF">2017-03-15T04:02:00Z</dcterms:created>
  <dcterms:modified xsi:type="dcterms:W3CDTF">2017-03-15T04:05:00Z</dcterms:modified>
</cp:coreProperties>
</file>