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charts/chart9.xml" ContentType="application/vnd.openxmlformats-officedocument.drawingml.chart+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_rels/chart9.xml.rels" ContentType="application/vnd.openxmlformats-package.relationships+xml"/>
  <Override PartName="/word/charts/_rels/chart1.xml.rels" ContentType="application/vnd.openxmlformats-package.relationships+xml"/>
  <Override PartName="/word/charts/_rels/chart2.xml.rels" ContentType="application/vnd.openxmlformats-package.relationships+xml"/>
  <Override PartName="/word/charts/_rels/chart3.xml.rels" ContentType="application/vnd.openxmlformats-package.relationships+xml"/>
  <Override PartName="/word/charts/_rels/chart4.xml.rels" ContentType="application/vnd.openxmlformats-package.relationships+xml"/>
  <Override PartName="/word/charts/_rels/chart5.xml.rels" ContentType="application/vnd.openxmlformats-package.relationships+xml"/>
  <Override PartName="/word/charts/_rels/chart10.xml.rels" ContentType="application/vnd.openxmlformats-package.relationships+xml"/>
  <Override PartName="/word/charts/_rels/chart6.xml.rels" ContentType="application/vnd.openxmlformats-package.relationships+xml"/>
  <Override PartName="/word/charts/_rels/chart11.xml.rels" ContentType="application/vnd.openxmlformats-package.relationships+xml"/>
  <Override PartName="/word/charts/_rels/chart7.xml.rels" ContentType="application/vnd.openxmlformats-package.relationships+xml"/>
  <Override PartName="/word/charts/_rels/chart12.xml.rels" ContentType="application/vnd.openxmlformats-package.relationships+xml"/>
  <Override PartName="/word/charts/_rels/chart8.xml.rels" ContentType="application/vnd.openxmlformats-package.relationships+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embeddings/_____Microsoft_Office_Excel3.xlsx" ContentType="application/vnd.openxmlformats-officedocument.spreadsheetml.sheet"/>
  <Override PartName="/word/embeddings/_____Microsoft_Office_Excel8.xlsx" ContentType="application/vnd.openxmlformats-officedocument.spreadsheetml.sheet"/>
  <Override PartName="/word/embeddings/_____Microsoft_Office_Excel7.xlsx" ContentType="application/vnd.openxmlformats-officedocument.spreadsheetml.sheet"/>
  <Override PartName="/word/embeddings/_____Microsoft_Office_Excel11.xlsx" ContentType="application/vnd.openxmlformats-officedocument.spreadsheetml.sheet"/>
  <Override PartName="/word/embeddings/_____Microsoft_Office_Excel2.xlsx" ContentType="application/vnd.openxmlformats-officedocument.spreadsheetml.sheet"/>
  <Override PartName="/word/embeddings/_____Microsoft_Office_Excel10.xlsx" ContentType="application/vnd.openxmlformats-officedocument.spreadsheetml.sheet"/>
  <Override PartName="/word/embeddings/_____Microsoft_Office_Excel6.xlsx" ContentType="application/vnd.openxmlformats-officedocument.spreadsheetml.sheet"/>
  <Override PartName="/word/embeddings/_____Microsoft_Office_Excel1.xlsx" ContentType="application/vnd.openxmlformats-officedocument.spreadsheetml.sheet"/>
  <Override PartName="/word/embeddings/_____Microsoft_Office_Excel5.xlsx" ContentType="application/vnd.openxmlformats-officedocument.spreadsheetml.sheet"/>
  <Override PartName="/word/embeddings/_____Microsoft_Office_Excel9.xlsx" ContentType="application/vnd.openxmlformats-officedocument.spreadsheetml.sheet"/>
  <Override PartName="/word/embeddings/_____Microsoft_Office_Excel4.xlsx" ContentType="application/vnd.openxmlformats-officedocument.spreadsheetml.sheet"/>
  <Override PartName="/word/embeddings/_____Microsoft_Office_Excel12.xlsx" ContentType="application/vnd.openxmlformats-officedocument.spreadsheetml.sheet"/>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jc w:val="both"/>
        <w:rPr>
          <w:rFonts w:ascii="Times New Roman" w:hAnsi="Times New Roman"/>
          <w:b/>
          <w:b/>
          <w:sz w:val="32"/>
          <w:szCs w:val="32"/>
        </w:rPr>
      </w:pPr>
      <w:r>
        <w:rPr>
          <w:rFonts w:ascii="Times New Roman" w:hAnsi="Times New Roman"/>
          <w:b/>
          <w:sz w:val="32"/>
          <w:szCs w:val="32"/>
        </w:rPr>
      </w:r>
    </w:p>
    <w:p>
      <w:pPr>
        <w:pStyle w:val="Normal"/>
        <w:spacing w:lineRule="auto" w:line="240" w:before="0" w:after="0"/>
        <w:jc w:val="both"/>
        <w:rPr>
          <w:rFonts w:ascii="Times New Roman" w:hAnsi="Times New Roman"/>
          <w:b/>
          <w:b/>
          <w:sz w:val="28"/>
          <w:szCs w:val="28"/>
        </w:rPr>
      </w:pPr>
      <w:r>
        <w:rPr>
          <w:rFonts w:ascii="Times New Roman" w:hAnsi="Times New Roman"/>
          <w:b/>
          <w:sz w:val="32"/>
          <w:szCs w:val="32"/>
        </w:rPr>
        <w:t xml:space="preserve">                                                </w:t>
      </w:r>
      <w:r>
        <w:rPr>
          <w:rFonts w:ascii="Times New Roman" w:hAnsi="Times New Roman"/>
          <w:b/>
          <w:sz w:val="28"/>
          <w:szCs w:val="28"/>
        </w:rPr>
        <w:t>ОГЛАВЛЕНИЕ</w:t>
      </w:r>
    </w:p>
    <w:p>
      <w:pPr>
        <w:pStyle w:val="Normal"/>
        <w:spacing w:lineRule="auto" w:line="240" w:before="0" w:after="0"/>
        <w:jc w:val="both"/>
        <w:rPr>
          <w:rFonts w:ascii="Times New Roman" w:hAnsi="Times New Roman"/>
          <w:sz w:val="28"/>
          <w:szCs w:val="28"/>
        </w:rPr>
      </w:pPr>
      <w:r>
        <w:rPr>
          <w:rFonts w:ascii="Times New Roman" w:hAnsi="Times New Roman"/>
          <w:sz w:val="28"/>
          <w:szCs w:val="28"/>
        </w:rPr>
      </w:r>
    </w:p>
    <w:tbl>
      <w:tblPr>
        <w:tblStyle w:val="a7"/>
        <w:tblW w:w="10142" w:type="dxa"/>
        <w:jc w:val="left"/>
        <w:tblInd w:w="0" w:type="dxa"/>
        <w:tblCellMar>
          <w:top w:w="0" w:type="dxa"/>
          <w:left w:w="108" w:type="dxa"/>
          <w:bottom w:w="0" w:type="dxa"/>
          <w:right w:w="108" w:type="dxa"/>
        </w:tblCellMar>
        <w:tblLook w:val="04a0"/>
      </w:tblPr>
      <w:tblGrid>
        <w:gridCol w:w="8486"/>
        <w:gridCol w:w="1655"/>
      </w:tblGrid>
      <w:tr>
        <w:trPr>
          <w:trHeight w:val="336" w:hRule="atLeast"/>
        </w:trPr>
        <w:tc>
          <w:tcPr>
            <w:tcW w:w="8486"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lang w:val="el-GR"/>
              </w:rPr>
              <w:t>Введение ………………………………………………………………...</w:t>
            </w:r>
          </w:p>
        </w:tc>
        <w:tc>
          <w:tcPr>
            <w:tcW w:w="1655"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lang w:val="el-GR"/>
              </w:rPr>
              <w:t>2-3</w:t>
            </w:r>
          </w:p>
        </w:tc>
      </w:tr>
      <w:tr>
        <w:trPr>
          <w:trHeight w:val="352" w:hRule="atLeast"/>
        </w:trPr>
        <w:tc>
          <w:tcPr>
            <w:tcW w:w="8486" w:type="dxa"/>
            <w:tcBorders>
              <w:top w:val="nil"/>
              <w:left w:val="nil"/>
              <w:bottom w:val="nil"/>
              <w:right w:val="nil"/>
              <w:insideH w:val="nil"/>
              <w:insideV w:val="nil"/>
            </w:tcBorders>
            <w:shd w:fill="auto" w:val="clear"/>
          </w:tcPr>
          <w:p>
            <w:pPr>
              <w:pStyle w:val="NormalWeb"/>
              <w:spacing w:lineRule="auto" w:line="240" w:beforeAutospacing="0" w:before="0" w:afterAutospacing="0" w:after="0"/>
              <w:jc w:val="both"/>
              <w:rPr>
                <w:rStyle w:val="Strong"/>
                <w:b w:val="false"/>
                <w:b w:val="false"/>
                <w:sz w:val="28"/>
                <w:szCs w:val="28"/>
                <w:lang w:val="ru-RU"/>
              </w:rPr>
            </w:pPr>
            <w:r>
              <w:rPr>
                <w:rStyle w:val="Strong"/>
                <w:rFonts w:eastAsia="Calibri" w:cs="Times New Roman"/>
                <w:b w:val="false"/>
                <w:sz w:val="28"/>
                <w:szCs w:val="28"/>
                <w:lang w:val="ru-RU"/>
              </w:rPr>
              <w:t>Глава1.Девиантность……………………………………………………</w:t>
            </w:r>
          </w:p>
        </w:tc>
        <w:tc>
          <w:tcPr>
            <w:tcW w:w="1655"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rPr>
              <w:t>4</w:t>
            </w:r>
            <w:r>
              <w:rPr>
                <w:rFonts w:eastAsia="Calibri" w:cs="Times New Roman" w:ascii="Times New Roman" w:hAnsi="Times New Roman"/>
                <w:sz w:val="28"/>
                <w:szCs w:val="28"/>
                <w:lang w:val="en-US"/>
              </w:rPr>
              <w:t>-</w:t>
            </w:r>
            <w:r>
              <w:rPr>
                <w:rFonts w:eastAsia="Calibri" w:cs="Times New Roman" w:ascii="Times New Roman" w:hAnsi="Times New Roman"/>
                <w:sz w:val="28"/>
                <w:szCs w:val="28"/>
                <w:lang w:val="ru-RU"/>
              </w:rPr>
              <w:t>8</w:t>
            </w:r>
          </w:p>
        </w:tc>
      </w:tr>
      <w:tr>
        <w:trPr>
          <w:trHeight w:val="336" w:hRule="atLeast"/>
        </w:trPr>
        <w:tc>
          <w:tcPr>
            <w:tcW w:w="8486" w:type="dxa"/>
            <w:tcBorders>
              <w:top w:val="nil"/>
              <w:left w:val="nil"/>
              <w:bottom w:val="nil"/>
              <w:right w:val="nil"/>
              <w:insideH w:val="nil"/>
              <w:insideV w:val="nil"/>
            </w:tcBorders>
            <w:shd w:fill="auto" w:val="clear"/>
          </w:tcPr>
          <w:p>
            <w:pPr>
              <w:pStyle w:val="NormalWeb"/>
              <w:spacing w:lineRule="auto" w:line="240" w:beforeAutospacing="0" w:before="0" w:afterAutospacing="0" w:after="0"/>
              <w:rPr>
                <w:rStyle w:val="Strong"/>
                <w:b w:val="false"/>
                <w:b w:val="false"/>
                <w:sz w:val="28"/>
                <w:szCs w:val="28"/>
                <w:lang w:val="ru-RU"/>
              </w:rPr>
            </w:pPr>
            <w:r>
              <w:rPr>
                <w:rStyle w:val="Strong"/>
                <w:rFonts w:eastAsia="Calibri" w:cs="Times New Roman"/>
                <w:b w:val="false"/>
                <w:sz w:val="28"/>
                <w:szCs w:val="28"/>
                <w:lang w:val="ru-RU"/>
              </w:rPr>
              <w:t>1.1Определение девиантности…………………………………………</w:t>
            </w:r>
          </w:p>
        </w:tc>
        <w:tc>
          <w:tcPr>
            <w:tcW w:w="1655"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lang w:val="el-GR"/>
              </w:rPr>
              <w:t>4-5</w:t>
            </w:r>
          </w:p>
        </w:tc>
      </w:tr>
      <w:tr>
        <w:trPr>
          <w:trHeight w:val="352" w:hRule="atLeast"/>
        </w:trPr>
        <w:tc>
          <w:tcPr>
            <w:tcW w:w="8486" w:type="dxa"/>
            <w:tcBorders>
              <w:top w:val="nil"/>
              <w:left w:val="nil"/>
              <w:bottom w:val="nil"/>
              <w:right w:val="nil"/>
              <w:insideH w:val="nil"/>
              <w:insideV w:val="nil"/>
            </w:tcBorders>
            <w:shd w:fill="auto" w:val="clear"/>
          </w:tcPr>
          <w:p>
            <w:pPr>
              <w:pStyle w:val="NormalWeb"/>
              <w:spacing w:lineRule="auto" w:line="240" w:beforeAutospacing="0" w:before="0" w:afterAutospacing="0" w:after="0"/>
              <w:jc w:val="both"/>
              <w:rPr>
                <w:rStyle w:val="Strong"/>
                <w:b w:val="false"/>
                <w:b w:val="false"/>
                <w:sz w:val="28"/>
                <w:szCs w:val="28"/>
                <w:lang w:val="ru-RU"/>
              </w:rPr>
            </w:pPr>
            <w:r>
              <w:rPr>
                <w:rFonts w:eastAsia="Calibri" w:cs="Times New Roman"/>
                <w:sz w:val="28"/>
                <w:szCs w:val="28"/>
                <w:lang w:val="el-GR"/>
              </w:rPr>
              <w:t>1.2. Виды девиантности</w:t>
            </w:r>
            <w:r>
              <w:rPr>
                <w:rStyle w:val="Strong"/>
                <w:rFonts w:eastAsia="Calibri" w:cs="Times New Roman"/>
                <w:sz w:val="28"/>
                <w:szCs w:val="28"/>
                <w:lang w:val="el-GR"/>
              </w:rPr>
              <w:t xml:space="preserve"> </w:t>
            </w:r>
            <w:r>
              <w:rPr>
                <w:rStyle w:val="Strong"/>
                <w:rFonts w:eastAsia="Calibri" w:cs="Times New Roman"/>
                <w:b w:val="false"/>
                <w:sz w:val="28"/>
                <w:szCs w:val="28"/>
                <w:lang w:val="el-GR"/>
              </w:rPr>
              <w:t>………………………………………………..</w:t>
            </w:r>
          </w:p>
        </w:tc>
        <w:tc>
          <w:tcPr>
            <w:tcW w:w="1655"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lang w:val="ru-RU"/>
              </w:rPr>
              <w:t>5</w:t>
            </w:r>
            <w:r>
              <w:rPr>
                <w:rFonts w:eastAsia="Calibri" w:cs="Times New Roman" w:ascii="Times New Roman" w:hAnsi="Times New Roman"/>
                <w:sz w:val="28"/>
                <w:szCs w:val="28"/>
                <w:lang w:val="en-US"/>
              </w:rPr>
              <w:t>-</w:t>
            </w:r>
            <w:r>
              <w:rPr>
                <w:rFonts w:eastAsia="Calibri" w:cs="Times New Roman" w:ascii="Times New Roman" w:hAnsi="Times New Roman"/>
                <w:sz w:val="28"/>
                <w:szCs w:val="28"/>
                <w:lang w:val="ru-RU"/>
              </w:rPr>
              <w:t>7</w:t>
            </w:r>
          </w:p>
        </w:tc>
      </w:tr>
      <w:tr>
        <w:trPr>
          <w:trHeight w:val="336" w:hRule="atLeast"/>
        </w:trPr>
        <w:tc>
          <w:tcPr>
            <w:tcW w:w="8486" w:type="dxa"/>
            <w:tcBorders>
              <w:top w:val="nil"/>
              <w:left w:val="nil"/>
              <w:bottom w:val="nil"/>
              <w:right w:val="nil"/>
              <w:insideH w:val="nil"/>
              <w:insideV w:val="nil"/>
            </w:tcBorders>
            <w:shd w:fill="auto" w:val="clear"/>
          </w:tcPr>
          <w:p>
            <w:pPr>
              <w:pStyle w:val="Normal"/>
              <w:spacing w:lineRule="auto" w:line="240" w:before="0" w:after="0"/>
              <w:rPr>
                <w:sz w:val="28"/>
                <w:szCs w:val="28"/>
                <w:lang w:val="ru-RU"/>
              </w:rPr>
            </w:pPr>
            <w:r>
              <w:rPr>
                <w:rFonts w:eastAsia="Calibri" w:cs="Times New Roman" w:ascii="Times New Roman" w:hAnsi="Times New Roman"/>
                <w:sz w:val="28"/>
                <w:szCs w:val="28"/>
                <w:lang w:val="el-GR"/>
              </w:rPr>
              <w:t>1.3 Формы  девиаций……………………………………………………</w:t>
            </w:r>
          </w:p>
        </w:tc>
        <w:tc>
          <w:tcPr>
            <w:tcW w:w="1655"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lang w:val="ru-RU"/>
              </w:rPr>
              <w:t>7</w:t>
            </w:r>
            <w:r>
              <w:rPr>
                <w:rFonts w:eastAsia="Calibri" w:cs="Times New Roman" w:ascii="Times New Roman" w:hAnsi="Times New Roman"/>
                <w:sz w:val="28"/>
                <w:szCs w:val="28"/>
                <w:lang w:val="en-US"/>
              </w:rPr>
              <w:t>-</w:t>
            </w:r>
            <w:r>
              <w:rPr>
                <w:rFonts w:eastAsia="Calibri" w:cs="Times New Roman" w:ascii="Times New Roman" w:hAnsi="Times New Roman"/>
                <w:sz w:val="28"/>
                <w:szCs w:val="28"/>
                <w:lang w:val="ru-RU"/>
              </w:rPr>
              <w:t>8</w:t>
            </w:r>
          </w:p>
        </w:tc>
      </w:tr>
      <w:tr>
        <w:trPr>
          <w:trHeight w:val="352" w:hRule="atLeast"/>
        </w:trPr>
        <w:tc>
          <w:tcPr>
            <w:tcW w:w="8486"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lang w:val="ru-RU"/>
              </w:rPr>
              <w:t>Глава 2.Особенности отдельных форм девиантного поведения …….</w:t>
            </w:r>
          </w:p>
        </w:tc>
        <w:tc>
          <w:tcPr>
            <w:tcW w:w="1655"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lang w:val="ru-RU"/>
              </w:rPr>
              <w:t>8-12</w:t>
            </w:r>
          </w:p>
        </w:tc>
      </w:tr>
      <w:tr>
        <w:trPr>
          <w:trHeight w:val="336" w:hRule="atLeast"/>
        </w:trPr>
        <w:tc>
          <w:tcPr>
            <w:tcW w:w="8486"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lang w:val="ru-RU"/>
              </w:rPr>
              <w:t>Заключение……………………………………………………………….</w:t>
            </w:r>
          </w:p>
        </w:tc>
        <w:tc>
          <w:tcPr>
            <w:tcW w:w="1655"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lang w:val="ru-RU"/>
              </w:rPr>
              <w:t>13</w:t>
            </w:r>
          </w:p>
        </w:tc>
      </w:tr>
      <w:tr>
        <w:trPr>
          <w:trHeight w:val="336" w:hRule="atLeast"/>
        </w:trPr>
        <w:tc>
          <w:tcPr>
            <w:tcW w:w="8486"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lang w:val="el-GR"/>
              </w:rPr>
              <w:t>Список используемых источников…………………………………….</w:t>
            </w:r>
          </w:p>
        </w:tc>
        <w:tc>
          <w:tcPr>
            <w:tcW w:w="1655"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lang w:val="ru-RU"/>
              </w:rPr>
              <w:t>13</w:t>
            </w:r>
          </w:p>
        </w:tc>
      </w:tr>
      <w:tr>
        <w:trPr>
          <w:trHeight w:val="352" w:hRule="atLeast"/>
        </w:trPr>
        <w:tc>
          <w:tcPr>
            <w:tcW w:w="8486"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lang w:val="el-GR"/>
              </w:rPr>
              <w:t>Приложение А. ………………………………………………………….</w:t>
            </w:r>
          </w:p>
        </w:tc>
        <w:tc>
          <w:tcPr>
            <w:tcW w:w="1655"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lang w:val="el-GR"/>
              </w:rPr>
              <w:t>14-18</w:t>
            </w:r>
          </w:p>
        </w:tc>
      </w:tr>
      <w:tr>
        <w:trPr>
          <w:trHeight w:val="336" w:hRule="atLeast"/>
        </w:trPr>
        <w:tc>
          <w:tcPr>
            <w:tcW w:w="8486" w:type="dxa"/>
            <w:tcBorders>
              <w:top w:val="nil"/>
              <w:left w:val="nil"/>
              <w:bottom w:val="nil"/>
              <w:right w:val="nil"/>
              <w:insideH w:val="nil"/>
              <w:insideV w:val="nil"/>
            </w:tcBorders>
            <w:shd w:fill="auto" w:val="clear"/>
          </w:tcPr>
          <w:p>
            <w:pPr>
              <w:pStyle w:val="Normal"/>
              <w:spacing w:lineRule="auto" w:line="240" w:before="0" w:after="0"/>
              <w:jc w:val="both"/>
              <w:rPr>
                <w:sz w:val="28"/>
                <w:szCs w:val="28"/>
              </w:rPr>
            </w:pPr>
            <w:r>
              <w:rPr>
                <w:rFonts w:eastAsia="Calibri" w:cs="Times New Roman" w:ascii="Times New Roman" w:hAnsi="Times New Roman"/>
                <w:sz w:val="28"/>
                <w:szCs w:val="28"/>
                <w:lang w:val="el-GR"/>
              </w:rPr>
              <w:t>Приложение Б. ……….............................................................................</w:t>
            </w:r>
          </w:p>
        </w:tc>
        <w:tc>
          <w:tcPr>
            <w:tcW w:w="1655"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lang w:val="el-GR"/>
              </w:rPr>
              <w:t>19-22</w:t>
            </w:r>
          </w:p>
          <w:p>
            <w:pPr>
              <w:pStyle w:val="Normal"/>
              <w:spacing w:lineRule="auto" w:line="240" w:before="0" w:after="0"/>
              <w:jc w:val="both"/>
              <w:rPr>
                <w:rFonts w:ascii="Times New Roman" w:hAnsi="Times New Roman" w:eastAsia="Calibri" w:cs="Times New Roman"/>
                <w:sz w:val="28"/>
                <w:szCs w:val="28"/>
                <w:lang w:val="el-GR"/>
              </w:rPr>
            </w:pPr>
            <w:r>
              <w:rPr>
                <w:rFonts w:eastAsia="Calibri" w:cs="Times New Roman" w:ascii="Times New Roman" w:hAnsi="Times New Roman"/>
                <w:sz w:val="28"/>
                <w:szCs w:val="28"/>
                <w:lang w:val="el-GR"/>
              </w:rPr>
            </w:r>
          </w:p>
        </w:tc>
      </w:tr>
      <w:tr>
        <w:trPr>
          <w:trHeight w:val="336" w:hRule="atLeast"/>
        </w:trPr>
        <w:tc>
          <w:tcPr>
            <w:tcW w:w="8486"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lang w:val="ru-RU"/>
              </w:rPr>
              <w:t>Словарь……………………………………………………………………</w:t>
            </w:r>
          </w:p>
        </w:tc>
        <w:tc>
          <w:tcPr>
            <w:tcW w:w="1655" w:type="dxa"/>
            <w:tcBorders>
              <w:top w:val="nil"/>
              <w:left w:val="nil"/>
              <w:bottom w:val="nil"/>
              <w:right w:val="nil"/>
              <w:insideH w:val="nil"/>
              <w:insideV w:val="nil"/>
            </w:tcBorders>
            <w:shd w:fill="auto" w:val="clear"/>
          </w:tcPr>
          <w:p>
            <w:pPr>
              <w:pStyle w:val="Normal"/>
              <w:spacing w:lineRule="auto" w:line="240" w:before="0" w:after="0"/>
              <w:jc w:val="both"/>
              <w:rPr>
                <w:sz w:val="28"/>
                <w:szCs w:val="28"/>
                <w:lang w:val="ru-RU"/>
              </w:rPr>
            </w:pPr>
            <w:r>
              <w:rPr>
                <w:rFonts w:eastAsia="Calibri" w:cs="Times New Roman" w:ascii="Times New Roman" w:hAnsi="Times New Roman"/>
                <w:sz w:val="28"/>
                <w:szCs w:val="28"/>
                <w:lang w:val="ru-RU"/>
              </w:rPr>
              <w:t>22</w:t>
            </w:r>
          </w:p>
        </w:tc>
      </w:tr>
    </w:tbl>
    <w:p>
      <w:pPr>
        <w:pStyle w:val="Normal"/>
        <w:spacing w:lineRule="auto" w:line="240"/>
        <w:jc w:val="both"/>
        <w:rPr>
          <w:rFonts w:ascii="Times New Roman" w:hAnsi="Times New Roman" w:cs="Times New Roman"/>
          <w:b/>
          <w:b/>
          <w:sz w:val="28"/>
          <w:szCs w:val="28"/>
          <w:lang w:val="en-US"/>
        </w:rPr>
      </w:pPr>
      <w:r>
        <w:rPr>
          <w:rFonts w:cs="Times New Roman" w:ascii="Times New Roman" w:hAnsi="Times New Roman"/>
          <w:b/>
          <w:sz w:val="28"/>
          <w:szCs w:val="28"/>
        </w:rPr>
        <w:t xml:space="preserve"> </w:t>
      </w:r>
    </w:p>
    <w:p>
      <w:pPr>
        <w:pStyle w:val="Normal"/>
        <w:spacing w:lineRule="auto" w:line="240"/>
        <w:jc w:val="both"/>
        <w:rPr>
          <w:rFonts w:ascii="Times New Roman" w:hAnsi="Times New Roman" w:cs="Times New Roman"/>
          <w:b/>
          <w:b/>
          <w:sz w:val="28"/>
          <w:szCs w:val="28"/>
        </w:rPr>
      </w:pPr>
      <w:r>
        <w:rPr>
          <w:rFonts w:cs="Times New Roman" w:ascii="Times New Roman" w:hAnsi="Times New Roman"/>
          <w:b/>
          <w:sz w:val="28"/>
          <w:szCs w:val="28"/>
          <w:lang w:val="en-US"/>
        </w:rPr>
        <w:t xml:space="preserve">                                             </w:t>
      </w:r>
    </w:p>
    <w:p>
      <w:pPr>
        <w:pStyle w:val="Normal"/>
        <w:spacing w:lineRule="auto" w:line="24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jc w:val="center"/>
        <w:rPr>
          <w:rFonts w:ascii="Times New Roman" w:hAnsi="Times New Roman" w:cs="Times New Roman"/>
          <w:b/>
          <w:b/>
          <w:sz w:val="28"/>
          <w:szCs w:val="28"/>
        </w:rPr>
      </w:pPr>
      <w:r>
        <w:rPr>
          <w:rFonts w:cs="Times New Roman" w:ascii="Times New Roman" w:hAnsi="Times New Roman"/>
          <w:b/>
          <w:sz w:val="28"/>
          <w:szCs w:val="28"/>
        </w:rPr>
        <w:t>ВВЕДЕНИЕ</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Общество представляет собой многокомпонентную и многоуровневую социальную систему, включающую в себя множество переменных, но основной переменной, без которой его не может быть, является личность. Что же такое личность?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Чтобы правильно ответить на этот вопрос мы должны выделить различие в трех терминах: человек, индивид, личность. Когда мы говорим человек, имеется ввиду родовое понятие, охватывающие всех людей как представителей специфического вида (</w:t>
      </w:r>
      <w:r>
        <w:rPr>
          <w:rFonts w:cs="Times New Roman" w:ascii="Times New Roman" w:hAnsi="Times New Roman"/>
          <w:color w:val="212121"/>
          <w:sz w:val="28"/>
          <w:szCs w:val="28"/>
          <w:shd w:fill="FFFFFF" w:val="clear"/>
        </w:rPr>
        <w:t>homo sapiens</w:t>
      </w:r>
      <w:r>
        <w:rPr>
          <w:rFonts w:cs="Times New Roman" w:ascii="Times New Roman" w:hAnsi="Times New Roman"/>
          <w:sz w:val="28"/>
          <w:szCs w:val="28"/>
        </w:rPr>
        <w:t xml:space="preserve">), воплощающего высшую ступень развития жизни на Земле и являющегося субъектом общественно-исторической деятельности и культуры. Это понятие указывает на качественное отличие людей от животных, но ничего не говорит о социальных различиях между самими людьми. Понятие индивид обозначается отдельный представитель человеческого рода, обладающий психофизиологическими особенностями - темпераментом, характером, спецификой способностей памяти, чувств и т.п. Понятие личность имеет в виду социальное качество и особенности индивида, которые формируются, развиваются, реализуются в совместной деятельности и общении с другими людьми. С учетом сказанного можно дать определения личности. </w:t>
      </w:r>
      <w:r>
        <w:rPr>
          <w:rFonts w:cs="Times New Roman" w:ascii="Times New Roman" w:hAnsi="Times New Roman"/>
          <w:b/>
          <w:i/>
          <w:sz w:val="28"/>
          <w:szCs w:val="28"/>
        </w:rPr>
        <w:t>Личность</w:t>
      </w:r>
      <w:r>
        <w:rPr>
          <w:rFonts w:cs="Times New Roman" w:ascii="Times New Roman" w:hAnsi="Times New Roman"/>
          <w:sz w:val="28"/>
          <w:szCs w:val="28"/>
        </w:rPr>
        <w:t xml:space="preserve">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 это относительно устойчивая и целостная система социальных качеств, характеризующих данного индивида, приобретаемых и развиваемых им в процессе взаимодействия с другими людьми и являющихся продуктом общественного развития.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Личность существует в определенном человеческом теле, а потому обладает определенными биологическими предпосылками, без которых она сформироваться не может (например: невозможно представить личность в отсутствии мозга). Личность предстаёт в общественной жизни как уникальный носитель сознания и самосознания, субъект межличностных отношений и социальных взаимодействий.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Процесс усвоения индивидом  социального опыта, знаний, верований, норм, ценностей, образцов поведения, статусно-ролевых стандартов называется в науке</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  социализацией.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Социализация имеет свои формы, факторы,</w:t>
      </w:r>
      <w:r>
        <w:rPr/>
        <w:t> </w:t>
      </w:r>
      <w:r>
        <w:rPr>
          <w:rFonts w:cs="Times New Roman" w:ascii="Times New Roman" w:hAnsi="Times New Roman"/>
          <w:sz w:val="28"/>
          <w:szCs w:val="28"/>
        </w:rPr>
        <w:t xml:space="preserve">этапы, разновидности, сложный механизм своего проявления, сочетающий в себе внешне воздействия на человека. Внешняя информация и внутренний процесс отбора этой информации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своеобразный психологический фильтр, благодаря наличию которого можно объяснить, почему при равных условиях социализации в обществе, приходится сталкиваться не только с нормальным, но и девиантным  поведением, с антигуманной, агрессивной деятельностью отдельных личностей, причем не только на уровне рядовых людей, но и крупных политиков, возводящих преступность в ранг государственной деятельности, например фашизм, сталинизм (см. Словарь) и т.д.</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Понятие «поведение» пришло в социологию из психологии. Поведение</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  это реакция живого существа на внешние и внутренние изменения. Такая реакция может быть и осознанной, и неосознанной. Так, чисто эмоциональные реакции ˗ смех, плач ˗ также являются поведением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b/>
          <w:sz w:val="28"/>
          <w:szCs w:val="28"/>
        </w:rPr>
        <w:t>Актуальность и необходимость</w:t>
      </w:r>
      <w:r>
        <w:rPr>
          <w:rFonts w:cs="Times New Roman" w:ascii="Times New Roman" w:hAnsi="Times New Roman"/>
          <w:sz w:val="28"/>
          <w:szCs w:val="28"/>
        </w:rPr>
        <w:t xml:space="preserve"> исследования  темы девиантного поведения определяется тем, что современное общество нуждается в физически и психически здоровых гармонически развитых людях, имеющих определенную цель в жизни, способных ее достигать. Исследование становится особенно актуальным в настоящее время, в переломный период развития нашего общества. Различные трудности, возникающие в процессе адаптации представителей тех или иных социальных групп к современной экономической ситуации, порождают деформацию межличностных связей, разобщение поколений, утрату традиций.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b/>
          <w:sz w:val="28"/>
          <w:szCs w:val="28"/>
        </w:rPr>
        <w:t xml:space="preserve">Цель исследования:  </w:t>
      </w:r>
      <w:r>
        <w:rPr>
          <w:rFonts w:cs="Times New Roman" w:ascii="Times New Roman" w:hAnsi="Times New Roman"/>
          <w:sz w:val="28"/>
          <w:szCs w:val="28"/>
        </w:rPr>
        <w:t xml:space="preserve">изучение девиантного поведения. </w:t>
      </w:r>
    </w:p>
    <w:p>
      <w:pPr>
        <w:pStyle w:val="Normal"/>
        <w:tabs>
          <w:tab w:val="left" w:pos="3825" w:leader="none"/>
        </w:tabs>
        <w:spacing w:lineRule="auto" w:line="240" w:before="0" w:after="0"/>
        <w:ind w:firstLine="709"/>
        <w:jc w:val="both"/>
        <w:rPr>
          <w:rFonts w:ascii="Times New Roman" w:hAnsi="Times New Roman" w:cs="Times New Roman"/>
          <w:b/>
          <w:b/>
          <w:sz w:val="28"/>
          <w:szCs w:val="28"/>
        </w:rPr>
      </w:pPr>
      <w:r>
        <w:rPr>
          <w:rFonts w:cs="Times New Roman" w:ascii="Times New Roman" w:hAnsi="Times New Roman"/>
          <w:b/>
          <w:sz w:val="28"/>
          <w:szCs w:val="28"/>
        </w:rPr>
        <w:t xml:space="preserve">Задачи исследования: </w:t>
        <w:tab/>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1. </w:t>
      </w:r>
      <w:r>
        <w:rPr>
          <w:rFonts w:cs="Times New Roman" w:ascii="Times New Roman" w:hAnsi="Times New Roman"/>
          <w:color w:val="000000"/>
          <w:sz w:val="28"/>
          <w:szCs w:val="28"/>
        </w:rPr>
        <w:t>Раскрыть</w:t>
      </w:r>
      <w:r>
        <w:rPr>
          <w:rFonts w:cs="Times New Roman" w:ascii="Times New Roman" w:hAnsi="Times New Roman"/>
          <w:sz w:val="28"/>
          <w:szCs w:val="28"/>
        </w:rPr>
        <w:t xml:space="preserve"> особенности девиантного поведения.</w:t>
      </w:r>
    </w:p>
    <w:p>
      <w:pPr>
        <w:pStyle w:val="Normal"/>
        <w:spacing w:lineRule="auto" w:line="240" w:before="0" w:after="0"/>
        <w:ind w:firstLine="709"/>
        <w:rPr>
          <w:rFonts w:ascii="Times New Roman" w:hAnsi="Times New Roman" w:cs="Times New Roman"/>
          <w:color w:val="000000"/>
          <w:sz w:val="28"/>
          <w:szCs w:val="28"/>
        </w:rPr>
      </w:pPr>
      <w:r>
        <w:rPr>
          <w:rFonts w:cs="Times New Roman" w:ascii="Times New Roman" w:hAnsi="Times New Roman"/>
          <w:sz w:val="28"/>
          <w:szCs w:val="28"/>
        </w:rPr>
        <w:t>2. Изучить</w:t>
      </w:r>
      <w:r>
        <w:rPr>
          <w:rFonts w:cs="Times New Roman" w:ascii="Times New Roman" w:hAnsi="Times New Roman"/>
          <w:color w:val="000000"/>
          <w:sz w:val="28"/>
          <w:szCs w:val="28"/>
        </w:rPr>
        <w:t xml:space="preserve"> виды и причины девиантного поведения личности.</w:t>
      </w:r>
      <w:r>
        <w:rPr>
          <w:rFonts w:cs="Arial" w:ascii="Arial" w:hAnsi="Arial"/>
          <w:color w:val="000000"/>
          <w:sz w:val="20"/>
          <w:szCs w:val="20"/>
        </w:rPr>
        <w:br/>
      </w:r>
      <w:r>
        <w:rPr>
          <w:rFonts w:cs="Times New Roman" w:ascii="Times New Roman" w:hAnsi="Times New Roman"/>
          <w:color w:val="000000"/>
          <w:sz w:val="28"/>
          <w:szCs w:val="28"/>
        </w:rPr>
        <w:t xml:space="preserve">          3. Рассмотреть меры коррекции и профилактики девиантного поведения подростков.</w:t>
      </w:r>
    </w:p>
    <w:p>
      <w:pPr>
        <w:pStyle w:val="Normal"/>
        <w:spacing w:lineRule="auto" w:line="240" w:before="0" w:after="0"/>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4. Особенности отдельного вида девиации( преступность).</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b/>
          <w:sz w:val="28"/>
          <w:szCs w:val="28"/>
        </w:rPr>
        <w:t>Объект исследования:</w:t>
      </w:r>
      <w:r>
        <w:rPr>
          <w:rFonts w:cs="Times New Roman" w:ascii="Times New Roman" w:hAnsi="Times New Roman"/>
          <w:sz w:val="28"/>
          <w:szCs w:val="28"/>
        </w:rPr>
        <w:t xml:space="preserve"> девиантное поведение.</w:t>
      </w:r>
    </w:p>
    <w:p>
      <w:pPr>
        <w:pStyle w:val="Normal"/>
        <w:spacing w:lineRule="auto" w:line="240" w:before="0" w:after="0"/>
        <w:ind w:firstLine="709"/>
        <w:jc w:val="both"/>
        <w:rPr>
          <w:rFonts w:ascii="Times New Roman" w:hAnsi="Times New Roman" w:cs="Times New Roman"/>
          <w:color w:val="000000"/>
          <w:sz w:val="28"/>
          <w:szCs w:val="28"/>
        </w:rPr>
      </w:pPr>
      <w:r>
        <w:rPr>
          <w:rFonts w:cs="Times New Roman" w:ascii="Times New Roman" w:hAnsi="Times New Roman"/>
          <w:b/>
          <w:color w:val="000000"/>
          <w:sz w:val="28"/>
          <w:szCs w:val="28"/>
        </w:rPr>
        <w:t>Гипотеза</w:t>
      </w:r>
      <w:r>
        <w:rPr>
          <w:rFonts w:cs="Times New Roman" w:ascii="Times New Roman" w:hAnsi="Times New Roman"/>
          <w:color w:val="000000"/>
          <w:sz w:val="28"/>
          <w:szCs w:val="28"/>
        </w:rPr>
        <w:t xml:space="preserve"> состоит в том, что подростки в возрасте 15-18 лет имеют склонность к девиантному поведению.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b/>
          <w:sz w:val="28"/>
          <w:szCs w:val="28"/>
        </w:rPr>
        <w:t>Методы исследования:</w:t>
      </w:r>
      <w:r>
        <w:rPr>
          <w:rFonts w:cs="Times New Roman" w:ascii="Times New Roman" w:hAnsi="Times New Roman"/>
          <w:sz w:val="28"/>
          <w:szCs w:val="28"/>
        </w:rPr>
        <w:t xml:space="preserve"> анализ научной литературы по проблеме исследования, беседа, анкетирование, интервьюирование.</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Глава 1.  Девиантность</w:t>
      </w:r>
    </w:p>
    <w:p>
      <w:pPr>
        <w:pStyle w:val="Normal"/>
        <w:spacing w:lineRule="auto" w:line="240"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ListParagraph"/>
        <w:numPr>
          <w:ilvl w:val="1"/>
          <w:numId w:val="3"/>
        </w:numPr>
        <w:spacing w:lineRule="auto" w:line="240" w:before="0" w:after="0"/>
        <w:contextualSpacing/>
        <w:jc w:val="center"/>
        <w:rPr>
          <w:rFonts w:ascii="Times New Roman" w:hAnsi="Times New Roman" w:cs="Times New Roman"/>
          <w:b/>
          <w:b/>
          <w:sz w:val="28"/>
          <w:szCs w:val="28"/>
        </w:rPr>
      </w:pPr>
      <w:r>
        <w:rPr>
          <w:rFonts w:cs="Times New Roman" w:ascii="Times New Roman" w:hAnsi="Times New Roman"/>
          <w:b/>
          <w:sz w:val="28"/>
          <w:szCs w:val="28"/>
        </w:rPr>
        <w:t>Определение девиантности</w:t>
      </w:r>
    </w:p>
    <w:p>
      <w:pPr>
        <w:pStyle w:val="ListParagraph"/>
        <w:spacing w:lineRule="auto" w:line="240" w:before="0" w:after="0"/>
        <w:ind w:left="3754" w:hanging="0"/>
        <w:contextualSpacing/>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w:t>
      </w:r>
      <w:r>
        <w:rPr>
          <w:rFonts w:cs="Times New Roman" w:ascii="Times New Roman" w:hAnsi="Times New Roman"/>
          <w:sz w:val="28"/>
          <w:szCs w:val="28"/>
        </w:rPr>
        <w:t xml:space="preserve">Исходным для понимания сути девиантного поведения служит понятие “норма“. Социальная норма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исторически сложившаяся в конкретном обществе мера допустимого поведения отдельного человека, социальной группы или организации. Социальные нормы складываются как результат адекватного или искаженного отражения в сознании и поведении людей объективных закономерностей функционирования общества. Поэтому они либо соответствуют законам общественного развития, являясь «естественными», либо недостаточно адекватны им, а то и вступают в противоречие из-за искаженного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 классово ограниченного, религиозного, субъективистского, мифологизированного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 отражения объективных закономерностей. В таком случае аномальной становится «норма», «нормальны» же отклонения от нее.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Вот почему социальные отклонения могут иметь для общества различные значения. Позитивные служат средством прогрессивного развития системы, повышения уровня ее организованности, преодоления устаревших,</w:t>
        <w:br/>
        <w:t>консервативных или реакционных стандартов поведения. Это – социальное</w:t>
        <w:br/>
        <w:t>творчество: научное, техническое, художественное, общественно-политическое. Негативные</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дезорганизуют систему, подрывая подчас ее основы. Это – социальная патология: преступность, алкоголизм, наркомания, проституция, суицид.</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Границы между позитивным и негативным девиантным поведением подвижны во времени и пространстве социумов. Кроме того, одновременно существуют  различные «нормативные субкультуры» (от научных сообществ и художественной «богемы» до сообществ наркоманов и преступников).         Социальные нормы выполняют в обществе очень важные функции. Они регулируют общий ход социализации, интегрируют индивидов в группы, а группы в общество, контролируют отклоняющееся поведение, служат эталонами поведения. Из всего этого следует, что если индивид соблюдает все нормы, предписанные обществом, то его поведение не является отклоняющимся, если же он не соблюдает какие-либо правила, то поведение данного индивида будет девиантным. Но обычно в обществе не существует людей, которые бы соблюдали абсолютно все нормы.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В большинстве случаев отклоняющееся поведение подлежит социальным санкциям. Слабые и случайные формы девиации, связанные с нарушением порядка взаимодействия между людьми  (ложь, грубость и т.п.) фиксируются общественным мнением и корректируются непосредственно и ситуативно участниками взаимодействия. Методы и средства наказания по отношению к устойчивым формам девиаций определяются общественным сознанием или интересами правящей элиты в зависимости от степени опасности отклонений.</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Социальное поведение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это совокупность человеческих поведенческих процессов, связанных с удовлетворением физических и социальных потребностей и возникающих как реакция на окружающую социальную среду. Субъектом социального поведения может быть индивид или группа.</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Если абстрагироваться от чисто психологических факторов и рассуждать на социальном уровне, то поведение индивида определяется, прежде всего, социализацией. Тот минимум врожденных инстинктов, которым обладает человек как биологическое существо одинаков у всех людей. Поведенческие различия зависят от приобретенных в процессе социализации качеств и в какой-то степени</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от врожденных и приобретенных психологических  индивидуальных особенностей.</w:t>
      </w:r>
    </w:p>
    <w:p>
      <w:pPr>
        <w:pStyle w:val="Normal"/>
        <w:spacing w:lineRule="auto" w:line="240" w:before="0" w:after="0"/>
        <w:ind w:firstLine="709"/>
        <w:jc w:val="both"/>
        <w:rPr/>
      </w:pPr>
      <w:r>
        <w:rPr>
          <w:rFonts w:cs="Times New Roman" w:ascii="Times New Roman" w:hAnsi="Times New Roman"/>
          <w:sz w:val="28"/>
          <w:szCs w:val="28"/>
        </w:rPr>
        <w:t>Под </w:t>
      </w:r>
      <w:hyperlink r:id="rId2">
        <w:r>
          <w:rPr>
            <w:rStyle w:val="Style11"/>
            <w:rFonts w:ascii="Times New Roman" w:hAnsi="Times New Roman"/>
            <w:color w:val="000000" w:themeColor="text1"/>
            <w:sz w:val="28"/>
            <w:szCs w:val="28"/>
            <w:u w:val="none"/>
          </w:rPr>
          <w:t>девиантным</w:t>
        </w:r>
      </w:hyperlink>
      <w:r>
        <w:rPr>
          <w:rFonts w:cs="Times New Roman" w:ascii="Times New Roman" w:hAnsi="Times New Roman"/>
          <w:color w:val="000000" w:themeColor="text1"/>
          <w:sz w:val="28"/>
          <w:szCs w:val="28"/>
        </w:rPr>
        <w:t> </w:t>
      </w:r>
      <w:r>
        <w:rPr>
          <w:rFonts w:cs="Times New Roman" w:ascii="Times New Roman" w:hAnsi="Times New Roman"/>
          <w:sz w:val="28"/>
          <w:szCs w:val="28"/>
        </w:rPr>
        <w:t xml:space="preserve">поведением </w:t>
      </w:r>
      <w:r>
        <w:rPr>
          <w:rFonts w:cs="Times New Roman" w:ascii="Times New Roman" w:hAnsi="Times New Roman"/>
          <w:i/>
          <w:sz w:val="28"/>
          <w:szCs w:val="28"/>
        </w:rPr>
        <w:t>в широком смысле</w:t>
      </w:r>
      <w:r>
        <w:rPr>
          <w:rFonts w:cs="Times New Roman" w:ascii="Times New Roman" w:hAnsi="Times New Roman"/>
          <w:sz w:val="28"/>
          <w:szCs w:val="28"/>
        </w:rPr>
        <w:t xml:space="preserve"> понимают любые поступки или действия людей, не соответствующие писаным и неписаным нормам, причем как положительные, так и отрицательные. Это могут быть культурно одобряемые отклонения, например сверхгениальность, героизм, самопожертвование, альтруизм, трудоголизм и др., а также культурно неодобряемые отклонения,</w:t>
      </w:r>
      <w:r>
        <w:rPr/>
        <w:t> </w:t>
      </w:r>
      <w:r>
        <w:rPr>
          <w:rFonts w:cs="Times New Roman" w:ascii="Times New Roman" w:hAnsi="Times New Roman"/>
          <w:sz w:val="28"/>
          <w:szCs w:val="28"/>
        </w:rPr>
        <w:t>начиная от безбилетного проезда,</w:t>
      </w:r>
      <w:r>
        <w:rPr/>
        <w:t> </w:t>
      </w:r>
      <w:r>
        <w:rPr>
          <w:rFonts w:cs="Times New Roman" w:ascii="Times New Roman" w:hAnsi="Times New Roman"/>
          <w:sz w:val="28"/>
          <w:szCs w:val="28"/>
        </w:rPr>
        <w:t>кончая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убийствами и другими тяжкими преступлениями.</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В </w:t>
      </w:r>
      <w:r>
        <w:rPr>
          <w:rFonts w:cs="Times New Roman" w:ascii="Times New Roman" w:hAnsi="Times New Roman"/>
          <w:i/>
          <w:sz w:val="28"/>
          <w:szCs w:val="28"/>
        </w:rPr>
        <w:t>узком понимании</w:t>
      </w:r>
      <w:r>
        <w:rPr>
          <w:rFonts w:cs="Times New Roman" w:ascii="Times New Roman" w:hAnsi="Times New Roman"/>
          <w:sz w:val="28"/>
          <w:szCs w:val="28"/>
        </w:rPr>
        <w:t xml:space="preserve"> под девиантным поведением подразумеваются такие отклонения от нормы (от закона), которые влекут за собой уголовное наказание. Совокупность противоправных поступков получила в социологии название</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 делинквентное поведение. (см. Словарь)</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Девиантное поведение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 относительно, поскольку имеет отношение к моральным нормам, ценностям данной группы, делинквентное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 абсолютно, так как нарушает абсолютную норму, выраженную в юридических законах общества.</w:t>
      </w:r>
    </w:p>
    <w:p>
      <w:pPr>
        <w:pStyle w:val="Normal"/>
        <w:spacing w:lineRule="auto" w:line="240" w:before="0" w:after="0"/>
        <w:ind w:firstLine="709"/>
        <w:jc w:val="both"/>
        <w:rPr>
          <w:rFonts w:ascii="Times New Roman" w:hAnsi="Times New Roman" w:cs="Times New Roman"/>
          <w:b/>
          <w:b/>
          <w:sz w:val="28"/>
          <w:szCs w:val="28"/>
        </w:rPr>
      </w:pPr>
      <w:r>
        <w:rPr>
          <w:rFonts w:cs="Times New Roman" w:ascii="Times New Roman" w:hAnsi="Times New Roman"/>
          <w:sz w:val="28"/>
          <w:szCs w:val="28"/>
        </w:rPr>
        <w:t>Девиантное поведение  как нарушение социальных норм, приобрело в последние годы массовый характер, что  вывело эту проблему в центр внимания социологов,</w:t>
      </w:r>
      <w:r>
        <w:rPr/>
        <w:t> </w:t>
      </w:r>
      <w:r>
        <w:rPr>
          <w:rFonts w:cs="Times New Roman" w:ascii="Times New Roman" w:hAnsi="Times New Roman"/>
          <w:sz w:val="28"/>
          <w:szCs w:val="28"/>
        </w:rPr>
        <w:t>социальных психологов, медиков, работников  правоохранительных органов.</w:t>
        <w:br/>
        <w:br/>
      </w:r>
      <w:r>
        <w:rPr>
          <w:rFonts w:cs="Times New Roman" w:ascii="Times New Roman" w:hAnsi="Times New Roman"/>
          <w:b/>
          <w:sz w:val="28"/>
          <w:szCs w:val="28"/>
        </w:rPr>
        <w:t xml:space="preserve">                                       </w:t>
      </w:r>
    </w:p>
    <w:p>
      <w:pPr>
        <w:pStyle w:val="Normal"/>
        <w:spacing w:lineRule="auto" w:line="240" w:before="0" w:after="0"/>
        <w:ind w:firstLine="709"/>
        <w:jc w:val="center"/>
        <w:rPr>
          <w:rFonts w:ascii="Times New Roman" w:hAnsi="Times New Roman" w:cs="Times New Roman"/>
          <w:b/>
          <w:b/>
          <w:sz w:val="28"/>
          <w:szCs w:val="28"/>
        </w:rPr>
      </w:pPr>
      <w:r>
        <w:rPr>
          <w:rFonts w:cs="Times New Roman" w:ascii="Times New Roman" w:hAnsi="Times New Roman"/>
          <w:b/>
          <w:sz w:val="28"/>
          <w:szCs w:val="28"/>
        </w:rPr>
        <w:t>1.2.</w:t>
      </w:r>
      <w:r>
        <w:rPr>
          <w:rFonts w:cs="Times New Roman" w:ascii="Times New Roman" w:hAnsi="Times New Roman"/>
          <w:sz w:val="28"/>
          <w:szCs w:val="28"/>
        </w:rPr>
        <w:t xml:space="preserve"> </w:t>
      </w:r>
      <w:r>
        <w:rPr>
          <w:rFonts w:cs="Times New Roman" w:ascii="Times New Roman" w:hAnsi="Times New Roman"/>
          <w:b/>
          <w:sz w:val="28"/>
          <w:szCs w:val="28"/>
        </w:rPr>
        <w:t>Виды девиантности</w:t>
      </w:r>
    </w:p>
    <w:p>
      <w:pPr>
        <w:pStyle w:val="Normal"/>
        <w:spacing w:lineRule="auto" w:line="240"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Принято различать первичную и вторичную девиацию. </w:t>
      </w:r>
      <w:r>
        <w:rPr>
          <w:rFonts w:cs="Times New Roman" w:ascii="Times New Roman" w:hAnsi="Times New Roman"/>
          <w:i/>
          <w:sz w:val="28"/>
          <w:szCs w:val="28"/>
        </w:rPr>
        <w:t>Первичным</w:t>
      </w:r>
      <w:r>
        <w:rPr>
          <w:rFonts w:cs="Times New Roman" w:ascii="Times New Roman" w:hAnsi="Times New Roman"/>
          <w:sz w:val="28"/>
          <w:szCs w:val="28"/>
        </w:rPr>
        <w:t> называют такое отклонение, которое в целом соответствует принятым в обществе нормам и является настолько незначительным, что окружение индивида не квалифицирует его девиантом и он себя таковым не считает. Под </w:t>
      </w:r>
      <w:r>
        <w:rPr>
          <w:rFonts w:cs="Times New Roman" w:ascii="Times New Roman" w:hAnsi="Times New Roman"/>
          <w:i/>
          <w:sz w:val="28"/>
          <w:szCs w:val="28"/>
        </w:rPr>
        <w:t>вторичным</w:t>
      </w:r>
      <w:r>
        <w:rPr>
          <w:rFonts w:cs="Times New Roman" w:ascii="Times New Roman" w:hAnsi="Times New Roman"/>
          <w:sz w:val="28"/>
          <w:szCs w:val="28"/>
        </w:rPr>
        <w:t xml:space="preserve"> отклонением понимают поведение, которое в значительной степени отклоняется от существующих в группе норм и потому определяется как девиантное и личность уже идентифицируется как девиант. Большинство людей нарушают какие-либо социальные нормы. </w:t>
      </w:r>
      <w:r>
        <w:rPr>
          <w:rFonts w:cs="Times New Roman" w:ascii="Times New Roman" w:hAnsi="Times New Roman"/>
          <w:i/>
          <w:sz w:val="28"/>
          <w:szCs w:val="28"/>
        </w:rPr>
        <w:t>Например</w:t>
      </w:r>
      <w:r>
        <w:rPr>
          <w:rFonts w:cs="Times New Roman" w:ascii="Times New Roman" w:hAnsi="Times New Roman"/>
          <w:sz w:val="28"/>
          <w:szCs w:val="28"/>
        </w:rPr>
        <w:t>, правила дорожного движения при переходе улицы или разговор по мобильному телефону  на лекциях, но их не считают девиантами. Социологи называют такое поведение «первичной девиацией». Но привод в милицию, возбуждение уголовного дела, отчисление из учебного заведения  ставят на человеке ярлык девианта. Это уже «вторичная девиация», после чего окружающие начинают общаться с ним как с девиантом.</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Во все времена общество пыталось подавлять, устранять нежелательные формы человеческой жизнедеятельности и их носителей. Методы и средства определялись социальноэкономическими отношениями, общественным сознанием, интересами правящей элиты. Проблемы социального «зла» воплощают сегодня наиболее опасные для страны разрушительные тенденции. </w:t>
        <w:br/>
      </w:r>
      <w:r>
        <w:rPr>
          <w:rFonts w:cs="Times New Roman" w:ascii="Times New Roman" w:hAnsi="Times New Roman"/>
          <w:b/>
          <w:i/>
          <w:sz w:val="28"/>
          <w:szCs w:val="28"/>
        </w:rPr>
        <w:t>Каковы же причины девиации?</w:t>
      </w:r>
      <w:r>
        <w:rPr>
          <w:rFonts w:cs="Times New Roman" w:ascii="Times New Roman" w:hAnsi="Times New Roman"/>
          <w:sz w:val="28"/>
          <w:szCs w:val="28"/>
        </w:rPr>
        <w:t xml:space="preserve"> Более ста лет назад были распространены биологические и психологические трактовки причин девиации. Так,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 xml:space="preserve">итальянский врач Ломброзо предложил френологическую теорию девиации, пытаясь выявить прямую связь между преступным поведением человека и его биологическими характеристиками. По его мнению, «криминальный тип» есть результат деградации в более ранних стадиях человеческой эволюции. В 1940 г. Последователь Ломброзо американский психолог и врач У.Х.Шелдон подчеркивал важность строения тела. В его типологии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эндоморф (человек умеренной полноты с мягким и несколько округлым телом) общителен, умеет ладить с людьми;  мезоморф (чье тело отличается силой и стройностью) проявляет склонность к беспокойству, он активен и не слишком чувствителен:  эктоморф отличается тонкостью и хрупкостью тела, склонен к самоанализу, наделен повышенной чувствительностью и нервозностью. На основе проведенных исследований Шелдон приходит к выводу, что наиболее склонны к девиации мезоморфы. Психологическую теорию девиации развивает  врач-психиатр  3игмунд Фрейд. Он объясняет ее недостаточно развитым «Супер-Эго» и обосновывает «умственными дефектами», «слабоумием» и «психопатией», как бы запрограммированностью отклонений. Основы социологической теории девиации были положены французским социологом Эмилем Дюркгеймом. По его мнению, основной причиной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девиации является аномия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состояние дезорганизации общества, когда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ценности, нормы, социальные связи отсутствуют, ослабевают или противоречат друг другу. Все это нарушает стабильность общества, дезорганизует людей  и в результате появляются различные виды девиаций. Дальнейшее развитие теория аномии получает у американского социолога  Роберта Мертона. Главной причиной девиации он считал разрыв между культурными целями общества и  социально одобряемыми средствами их достижения. На основании дилеммы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«цель</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средства» Р. Мертон выделил пять типов поведения, четыре из которых относятся к девиации: конформность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тип поведения, предполагающий соответствие принятым в обществе целям и средствам их осуществления; инновация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 индивид разделяет социально одобряемые цели общества, но выбирает неодобряемые средства их достижения, причем средства не обязательно должны быть криминальными, они просто непривычные в данный момент времени для данного общества; ритуализм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 предполагает отрицание целей, провозглашенных обществом, при условном согласии с одобряемыми средствами их достижения, например, ученик, не выполнивший домашнее задание, идет в школу и втайне мечтает, чтобы учитель чудесным образом вдруг заболел. Но когда он входит в класс, то произносит: «Здравствуйте, Марья Ивановна»; ретрицизм - отказ от принятых обществом целей и средств как «бегство от действительности», своеобразный социальный нигилизм (бродяги, наркоманы, алкоголики, живущие в обществе, но не принадлежащие ему) бунт, мятеж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отрицание старых социально принятых целей и средств с одновременной заменой их новыми (революционеры, радикальные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экстремисты).</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При использовании этой типологии необходимо помнить, что люди, живя в обществе, никогда не могут быть полностью конформными к нормативной культуре или быть полными новаторами. В каждой личности присутствуют в той или иной степени все  перечисленные типы, но преобладает какой-то один.</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Отметим еще один интересный феномен проявления девиантного поведения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нормы-оправдания. Это культурные образцы, с помощью которых люди оправдывают осуществление каких- либо запретных желании и действии без открытого вызова существующим моральным нормам.</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Среди других теорий, объясняющих происхождение девиаций, можно выделить:</w:t>
      </w:r>
    </w:p>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1)теорию подражания французского социолога - криминалиста  Габриеля Тарда. По его мнению, люди становятся преступниками потому, что с ранних лет попадают в преступную среду.</w:t>
      </w:r>
    </w:p>
    <w:p>
      <w:pPr>
        <w:pStyle w:val="ListParagraph"/>
        <w:spacing w:lineRule="auto" w:line="240" w:before="0" w:after="0"/>
        <w:ind w:left="0" w:hanging="0"/>
        <w:contextualSpacing/>
        <w:jc w:val="both"/>
        <w:rPr>
          <w:rFonts w:ascii="Times New Roman" w:hAnsi="Times New Roman" w:cs="Times New Roman"/>
          <w:sz w:val="28"/>
          <w:szCs w:val="28"/>
        </w:rPr>
      </w:pPr>
      <w:r>
        <w:rPr>
          <w:rFonts w:cs="Times New Roman" w:ascii="Times New Roman" w:hAnsi="Times New Roman"/>
          <w:sz w:val="28"/>
          <w:szCs w:val="28"/>
        </w:rPr>
        <w:t>2) теорию дифференциальной ассоциации американского социолога и криминалиста Эдвина. Сазерленда. Развивая мысль Г. Тарда, он подчеркивал, что многое в девиантном поведении индивида зависит от его окружения, т.е. от того, кто именно его учит и чему. Поэтому, чем дольше индивид пребывает в криминальной среде, тем больше вероятность того, что в будущем он станет девиантом. Эти две теории объединяются под общим названием «теория культурного переноса девиации»;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3)теорию стигматизации (от Греч, stigma - клеймо), или навешивание ярлыков, авторами которой являются американские социологи Эдварт  Лемерт, экономист  Гэри  Стэ́нли Бе́ккер. Согласно этой теории девиация определяется не столько поведением или содержанием конкретных поступков, сколько групповой оценкой, «навешиванием» на человека ярлыка «нарушителя» установленных норм и применением против него санкций.</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Таковы основные исследовательские подходы к изучению причин появления и распространения девиантного поведения.</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1"/>
          <w:numId w:val="2"/>
        </w:numPr>
        <w:spacing w:lineRule="auto" w:line="240" w:before="0" w:after="0"/>
        <w:ind w:left="720" w:hanging="0"/>
        <w:contextualSpacing/>
        <w:jc w:val="both"/>
        <w:rPr>
          <w:rFonts w:ascii="Times New Roman" w:hAnsi="Times New Roman" w:cs="Times New Roman"/>
          <w:b/>
          <w:b/>
          <w:sz w:val="28"/>
          <w:szCs w:val="28"/>
        </w:rPr>
      </w:pPr>
      <w:r>
        <w:rPr>
          <w:rFonts w:cs="Times New Roman" w:ascii="Times New Roman" w:hAnsi="Times New Roman"/>
          <w:b/>
          <w:sz w:val="28"/>
          <w:szCs w:val="28"/>
        </w:rPr>
        <w:t>Формы  девиаций</w:t>
      </w:r>
    </w:p>
    <w:p>
      <w:pPr>
        <w:pStyle w:val="ListParagraph"/>
        <w:spacing w:lineRule="auto" w:line="240" w:before="0" w:after="0"/>
        <w:ind w:left="3754" w:hanging="0"/>
        <w:contextualSpacing/>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К основным формам девиантного поведения в широком смысле относятся:</w:t>
      </w:r>
    </w:p>
    <w:p>
      <w:pPr>
        <w:pStyle w:val="ListParagraph"/>
        <w:numPr>
          <w:ilvl w:val="0"/>
          <w:numId w:val="1"/>
        </w:numPr>
        <w:spacing w:lineRule="auto" w:line="240" w:before="0" w:after="0"/>
        <w:ind w:left="720" w:hanging="0"/>
        <w:contextualSpacing/>
        <w:jc w:val="both"/>
        <w:rPr/>
      </w:pPr>
      <w:r>
        <w:rPr>
          <w:rFonts w:cs="Times New Roman" w:ascii="Times New Roman" w:hAnsi="Times New Roman"/>
          <w:sz w:val="28"/>
          <w:szCs w:val="28"/>
        </w:rPr>
        <w:t>пьянство и </w:t>
      </w:r>
      <w:hyperlink r:id="rId3">
        <w:r>
          <w:rPr>
            <w:rStyle w:val="Style11"/>
            <w:rFonts w:ascii="Times New Roman" w:hAnsi="Times New Roman"/>
            <w:color w:val="000000" w:themeColor="text1"/>
            <w:sz w:val="28"/>
            <w:szCs w:val="28"/>
            <w:u w:val="none"/>
          </w:rPr>
          <w:t>алкоголизм</w:t>
        </w:r>
      </w:hyperlink>
      <w:r>
        <w:rPr>
          <w:rFonts w:cs="Times New Roman" w:ascii="Times New Roman" w:hAnsi="Times New Roman"/>
          <w:color w:val="000000" w:themeColor="text1"/>
          <w:sz w:val="28"/>
          <w:szCs w:val="28"/>
        </w:rPr>
        <w:t>;</w:t>
      </w:r>
    </w:p>
    <w:p>
      <w:pPr>
        <w:pStyle w:val="ListParagraph"/>
        <w:numPr>
          <w:ilvl w:val="0"/>
          <w:numId w:val="1"/>
        </w:numPr>
        <w:spacing w:lineRule="auto" w:line="240" w:before="0" w:after="0"/>
        <w:ind w:left="720" w:hanging="0"/>
        <w:contextualSpacing/>
        <w:jc w:val="both"/>
        <w:rPr>
          <w:rFonts w:ascii="Times New Roman" w:hAnsi="Times New Roman" w:cs="Times New Roman"/>
          <w:sz w:val="28"/>
          <w:szCs w:val="28"/>
        </w:rPr>
      </w:pPr>
      <w:r>
        <w:rPr>
          <w:rFonts w:cs="Times New Roman" w:ascii="Times New Roman" w:hAnsi="Times New Roman"/>
          <w:sz w:val="28"/>
          <w:szCs w:val="28"/>
        </w:rPr>
        <w:t>употребление наркотиков;</w:t>
      </w:r>
    </w:p>
    <w:p>
      <w:pPr>
        <w:pStyle w:val="ListParagraph"/>
        <w:numPr>
          <w:ilvl w:val="0"/>
          <w:numId w:val="1"/>
        </w:numPr>
        <w:spacing w:lineRule="auto" w:line="240" w:before="0" w:after="0"/>
        <w:ind w:left="720" w:hanging="0"/>
        <w:contextualSpacing/>
        <w:jc w:val="both"/>
        <w:rPr>
          <w:rFonts w:ascii="Times New Roman" w:hAnsi="Times New Roman" w:cs="Times New Roman"/>
          <w:sz w:val="28"/>
          <w:szCs w:val="28"/>
        </w:rPr>
      </w:pPr>
      <w:r>
        <w:rPr>
          <w:rFonts w:cs="Times New Roman" w:ascii="Times New Roman" w:hAnsi="Times New Roman"/>
          <w:sz w:val="28"/>
          <w:szCs w:val="28"/>
        </w:rPr>
        <w:t>преступность;</w:t>
      </w:r>
    </w:p>
    <w:p>
      <w:pPr>
        <w:pStyle w:val="ListParagraph"/>
        <w:numPr>
          <w:ilvl w:val="0"/>
          <w:numId w:val="1"/>
        </w:numPr>
        <w:spacing w:lineRule="auto" w:line="240" w:before="0" w:after="0"/>
        <w:ind w:left="720" w:hanging="0"/>
        <w:contextualSpacing/>
        <w:jc w:val="both"/>
        <w:rPr>
          <w:rFonts w:ascii="Times New Roman" w:hAnsi="Times New Roman" w:cs="Times New Roman"/>
          <w:sz w:val="28"/>
          <w:szCs w:val="28"/>
        </w:rPr>
      </w:pPr>
      <w:r>
        <w:rPr>
          <w:rFonts w:cs="Times New Roman" w:ascii="Times New Roman" w:hAnsi="Times New Roman"/>
          <w:sz w:val="28"/>
          <w:szCs w:val="28"/>
        </w:rPr>
        <w:t>самоубийство;</w:t>
      </w:r>
    </w:p>
    <w:p>
      <w:pPr>
        <w:pStyle w:val="ListParagraph"/>
        <w:numPr>
          <w:ilvl w:val="0"/>
          <w:numId w:val="1"/>
        </w:numPr>
        <w:spacing w:lineRule="auto" w:line="240" w:before="0" w:after="0"/>
        <w:ind w:left="720" w:hanging="0"/>
        <w:contextualSpacing/>
        <w:jc w:val="both"/>
        <w:rPr>
          <w:rFonts w:ascii="Times New Roman" w:hAnsi="Times New Roman" w:cs="Times New Roman"/>
          <w:sz w:val="28"/>
          <w:szCs w:val="28"/>
        </w:rPr>
      </w:pPr>
      <w:r>
        <w:rPr>
          <w:rFonts w:cs="Times New Roman" w:ascii="Times New Roman" w:hAnsi="Times New Roman"/>
          <w:sz w:val="28"/>
          <w:szCs w:val="28"/>
        </w:rPr>
        <w:t>проституция.</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Как считают специалисты, существование в современном обществе у части людей девиантного поведения неизбежно. При этом они отмечают, что девиации закономерно возникают в обществах, переживающих</w:t>
      </w:r>
    </w:p>
    <w:p>
      <w:pPr>
        <w:pStyle w:val="Normal"/>
        <w:spacing w:lineRule="auto" w:line="240" w:before="0" w:after="0"/>
        <w:jc w:val="both"/>
        <w:rPr/>
      </w:pPr>
      <w:r>
        <w:rPr>
          <w:rFonts w:cs="Times New Roman" w:ascii="Times New Roman" w:hAnsi="Times New Roman"/>
          <w:sz w:val="28"/>
          <w:szCs w:val="28"/>
        </w:rPr>
        <w:t>трансформацию, где на фоне усиления кризисных явлений у людей нарастает неудовлетворенность своим положением, что вызывает чувство социальной неудовлетворенности, невостребованности и отчуждения от общества. Это чувство депривации ( </w:t>
      </w:r>
      <w:hyperlink r:id="rId4">
        <w:r>
          <w:rPr>
            <w:rStyle w:val="Style11"/>
            <w:rFonts w:ascii="Times New Roman" w:hAnsi="Times New Roman"/>
            <w:color w:val="000000" w:themeColor="text1"/>
            <w:sz w:val="28"/>
            <w:szCs w:val="28"/>
            <w:u w:val="none"/>
          </w:rPr>
          <w:t>лат.</w:t>
        </w:r>
      </w:hyperlink>
      <w:r>
        <w:rPr>
          <w:rFonts w:cs="Times New Roman" w:ascii="Times New Roman" w:hAnsi="Times New Roman"/>
          <w:sz w:val="28"/>
          <w:szCs w:val="28"/>
        </w:rPr>
        <w:t> deprivatio потеря, лишение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сокращение либо полное лишение возможности удовлетворять основные потребности</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психофизиологические либо социальные) в ряде случаев может привести к появлению среди населения пессимистических настроений и его деморализованности (упадок духа, растерянность).</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Типичным реакциями становятся безразличие к средствам достижения цели, коррупция, цинизм, экстремизм. Механизм девиантного поведения раскрывается через анализ взаимодействия нормативного регулирования, особенностей личности, ее отношения к норме и реальной жизненной конфликтной ситуации.</w:t>
      </w:r>
    </w:p>
    <w:p>
      <w:pPr>
        <w:pStyle w:val="Normal"/>
        <w:spacing w:lineRule="auto" w:line="240" w:before="0" w:after="0"/>
        <w:ind w:firstLine="709"/>
        <w:jc w:val="both"/>
        <w:rPr>
          <w:rFonts w:ascii="Times New Roman" w:hAnsi="Times New Roman" w:cs="Times New Roman"/>
          <w:color w:val="FF0000"/>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И так данные формы девиации связаны с формированием  асоциальных типов личности и преступными действиями, направленными против личности, общества и государства.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Глава 2.</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 xml:space="preserve">Преступность как одна из форм девиации </w:t>
      </w:r>
    </w:p>
    <w:p>
      <w:pPr>
        <w:pStyle w:val="Normal"/>
        <w:spacing w:lineRule="auto" w:line="240" w:before="0" w:after="0"/>
        <w:ind w:firstLine="709"/>
        <w:jc w:val="center"/>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Под преступлением в самом общем виде понимается нарушение законов.(см. Словарь) Преступниками считаются лица, осужденные судом. В этом случае судьи выполняют функцию стигматизации, т. е. накладывают своеобразное государственное «клеймо» на человека, объявляя его преступником.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Преступность в зависимости от сферы деятельности имеет различные трактовки и интерпретации. С юридической точки зрения преступление</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 это нарушение закона. С политической, преступление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 это акт, воспринимаемый властью как прямая или косвенная угроза ее интересам. Социология рассматривает преступление, как антисоциальный акт, который предполагает необходимость защиты существующей социальной системы. А психология говорит, что преступление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это форма социального неумения приспособиться к окружающей среде, затруднение, которое индивид испытывает при реагировании на окружающие его стимулы. При изучении преступности, как формы девиантного поведения, исследователи находят все больше факторов, которые воздействую на ее динамику. К таким факторам следует отнести: нищету, социальное положение, общественный статус, род занятий,  образование человека, уровень его воспитания и развития. Каждое общество имеет ту преступность, «которую оно заслуживает», а конкретнее – которая соответствует культуре данного общества. В современных странах Западной Европы вряд ли кто-то из психически нормальных людей воспользуется таким способом причинения вреда здоровью, как «сглаз», или таким способом убийства, как колдовство. Компьютерные преступления возможны только в обществах с соответствующей «информационной» культурой.</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Культура общества «подсказывает» нам всевозможные образцы поведения и различные варианты разрешения конфликтов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 напиться, украсть, выяснить отношения, перестать встречаться, покончить жизнь самоубийством и т.п. Также культурно обусловлены не только характер и способы совершения преступлений, но и применяемые обществом меры социального контроля и наказания.</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Преступность отражает все пороки человечества. И до сегодняшнего дня ни одному обществу еще не удалось устранить её. В настоящее время это одна из самых актуальных социальных проблем, и данному явлению необходимо уделять большое внимание со стороны государства и общества. Нужно учитывать, что преступность имеет порог количественного и качественного насыщения, за которым она из криминологической, правоохранительной проблемы превращается в проблему социально-политическую. Снижение преступности приведет к повышению качества жизни страны в целом и каждого ее человека в частности.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По данным исследований всех возрастных категорий, наибольшую тревогу вызывают масштабы распространения негативных явлений среди молодежи  и несовершеннолетних.</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Вольно или невольно человек придерживается линии поведения, одобряемой ближайшим его окружением, в котором могут присутствовать или даже преобладать установки и ориентации, противоречащие нормам рационального образа жизни. Чаще всего бывает так, что лишь какой-то элемент микросреды, а не вся она в целом имеет антиобщественную направленность. И здесь многое зависит от того, какая группа будет для личности более авторитетной и притягательной. Многие отклонения зарождаются в семье или связаны с ней, вызваны недостатками семейного воспитания. Занятость обоих родителей, малодетность, устранение детей от домашнего труда и серьезных жизненных проблем часто становятся тем фактором, который способствует развитию неблаговидных наклонностей и поступков. На психики и поступках детей отрицательно сказываются противоречия между словами и делами родителей, родственников, взрослых. Трудно ожидать, что у подростка сформируются нравственная устойчивость, здоровые привычки, когда тот, кто его воспитывает, провозглашая те или иные «истины», на деле поступает вопреки ним.</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Согласно официальной статистики МВД Республики Беларусь отмечается рост преступлений, совершенных несовершеннолетними. (Приложение Б). Общественная опасность преступлений в значительной степени зависит от того в одиночку или в группе совершены эти деяния.</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Нужно остановиться на таком важном показателе, как групповая преступность. Истоки групповой преступности лежат в уличных компаниях с антиобщественной направленностью.  Характерной чертой преступлений несовершеннолетних становятся насилие и жестокость. Подростки в процессе совершения преступлений при неудачном для них стечении обстоятельств совершают такие преступления как убийства, тяжкие телесные повреждения, разбойные нападения.</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Именно групповые преступления несовершеннолетних отличаются наибольшей жестокостью.</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В силу характера преступности несовершеннолетних на первое место выдвигается проблема личности преступника. Главное при рассмотрении личности несовершеннолетнего преступника - возраст. По возрастным особенностям несовершеннолетних делят на следующие группы: 14-15 лет - подростково-малолетняя, 16-17 лет - несовершеннолетние.</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Особое значение имеет изучение семейного положения несовершеннолетних преступников.  Именно в семье формируются социально значимые качества личности и оценочные критерии.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Особой является и проблема досуга, согласно результатам отдельных исследований по мере увеличения свободного времени интересы подростков деформируются и приобретают негативный оттенок. Чем больше свободного времени, тем выше вероятность совершения правонарушений. По данным тех же исследований, из числа подростков, имеющих 2-3 часа свободного времени на учете в милиции состояло 18%, 5-7 часов - 53%.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Средства массовой информации также влекут за собой рост подростковой преступности. Программы телевидения перенасыщены сценами насилия. Европейское общество защиты детей подсчитало, что в фильмах и передачах по всем европейским каналам ежечасно показывают не менее двадцати убийств и кровавых злодеяний. Наше телевидение, к сожалению, не уступает европейскому по части демонстрации насилия юным зрителям. Поскольку подростки проводят в среднем от трех до четырех часов в день у экрана, то можно себе представить силу воздействия на неокрепшую детскую психику всей этой лавины ужасов и её роль в процессе становления личности.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Многие детские учреждения, организации прекратили своё существование, а помещения, принадлежащие им, переданы в аренду коммерческим структурам. Большое количество спортивных секций, кружков перешли на коммерческую основу, т.е. стали платными, а значит недоступными.</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В нашей стране закон разрешает работать молодым людям, достигшим 16-летнего возраста, а те, кто  не достиг такого возраста, сталкивается с проблемой трудоустройства. Таким образом, подростки вынуждены подрабатывать на различных работах нелегальным путём, вопреки закону. «Деньги - любым путём!», - таков девиз для многих молодых людей. Несовершеннолетние активно участвуют в рэкете, незаконном бизнесе и других видах преступной деятельности. Трудоустройство несовершеннолетних, их адаптация и подготовка к профессиональной трудовой деятельности являются одними из важных задач, решение которых позволит обеспечить реализацию прав молодых людей на труд, использовать их потенциал в развитии экономики страны.</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Становление человека как личность происходит на протяжении всей его жизни, но основа поведения, характера закладывается именно в подростковом возрасте. Как показывает практика, лица, получившие уголовное наказание за преступления в подростковом возрасте и в дальнейшем совершают рецидивные преступления. Значит, для снижения числа правонарушений большое значение имеет воспитание, имеющее целью не допустить совершения человеком первого в его жизни преступления.</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Итак, несовершеннолетний преступник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 это лицо, обладающее привычками, склонностями, устойчивыми стереотипами антиобщественного поведения.  Для них характерны: постоянная демонстрация пренебрежения к нормам общепринятого поведения (сквернословие, появление в нетрезвом виде, приставание к гражданам, порча общественного имущества и т. д.); пристрастие к спиртным напиткам, к наркотикам, участие в азартных играх; бродяжничество, систематические побеги из дома, учебно-воспитательных и иных учреждений; ранние половые связи,; систематическое проявление  злобности, мстительности, грубости, актов насильственного поведения: виновное создание конфликтных ситуаций, постоянные ссоры в семье, терроризирование родителей и других членов семьи; культивирование вражды к иным группам несовершеннолетних, отличающихся успехами в учебе,; привычка к присвоению всего, что плохо лежит, что можно безнаказанно отнять у слабого.</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Преступность несовершеннолетних - это лишь начальная часть общей преступности. Влияние взрослой преступности на преступность несовершеннолетних чаще всего осуществляется опосредованно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 через преступность молодежи. Связь преступности несовершеннолетних и молодежи двусторонняя. Преступность несовершеннолетних это как бы отражение или тень преступности молодежи, так как младшие пытаются повторять поведенческие стереотипы старших, а преступность старших пополняется за счет притока вчерашних несовершеннолетних.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Большое значение имеет предупредительное воздействие на личность несовершеннолетнего, то есть индивидуальная профилактика. Меры индивидуальной профилактики должны воздействовать как на саму личность несовершеннолетнего преступника, так и на окружающую ее среду. Целью профилактики преступлений, совершаемых несовершеннолетними, являются исправление и перевоспитание подростка либо изменение его криминогенной ориентации. В предупреждении преступности несовершеннолетних участвует множество субъектов. Они представляют собой единую систему, связанную общностью целей и задач. Особое место в этой системе отводится органам внутренних дел, представляющих подсистему профилактики отклоняющегося поведения. Органы внутренних дел выполняют основной объем работы в области предупреждения преступлений несовершеннолетних, непосредственно занимаются исправлением и перевоспитанием несовершеннолетних, совершивших преступления. Кроме того, предупредительная деятельность органов внутренних дел предполагает обязательное включение в нее других субъектов. Важную роль в антикриминогенном влиянии на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несовершеннолетних должна оказывать школа, поскольку самовоспитание наряду с обучением составляет содержание процесса соответствующего воздействия на подростка, формируя его в качестве полезного для общества человека. В беседе с социальным педагогом нашей школы Н.Р.Шалюта, я выяснила, что в нашей школе нет учащихся, состоящих на учёте по делам несовершеннолетних, совершивших преступления. Этому есть объяснение. Внеклассная работа в нашей школе организована на должном уровне. У нас функционируют   с начальной школы различные кружки по интересам, секции  и профильное  обучение в старших классах по выбору. Большое разнообразие спортивных секций, которые проходят после уроков и в шестой школьный день. Таким образом, вопросы занятости после уроков у ребят нашей школы не возникают.</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Так же у нас в школе функционирует совет профилактики, который проходит один раз в неделю. На совет приглашаются ученики, которые имеют неудовлетворительные оценки, пропускают школу без уважительных причин, нарушают дисциплину.</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В заключении я хотела бы подвести некоторые итоги.</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Большинство несовершеннолетних не занято никаким делом, они не посещают кружки, секции, не занимаются чтением, а только гуляют со своими друзьями. Выявлено полное нежелание учиться или работать.</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Несовершеннолетние правонарушители предпочитают выходить на улице в вечернее или ночное время, хотя в это время они должны быть дома.</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Большинство несовершеннолетних живут в неполных семьях или их родители находятся в долгих командировках. Безнадзорность со стороны родителей, вседозволенность </w:t>
      </w:r>
      <w:r>
        <w:rPr>
          <w:rFonts w:cs="Times New Roman" w:ascii="Times New Roman" w:hAnsi="Times New Roman"/>
          <w:sz w:val="28"/>
          <w:szCs w:val="28"/>
        </w:rPr>
      </w:r>
      <m:oMath xmlns:m="http://schemas.openxmlformats.org/officeDocument/2006/math">
        <m:r>
          <w:rPr>
            <w:rFonts w:ascii="Cambria Math" w:hAnsi="Cambria Math"/>
          </w:rPr>
          <m:t xml:space="preserve">−</m:t>
        </m:r>
      </m:oMath>
      <w:r>
        <w:rPr>
          <w:rFonts w:cs="Times New Roman" w:ascii="Times New Roman" w:hAnsi="Times New Roman"/>
          <w:sz w:val="28"/>
          <w:szCs w:val="28"/>
        </w:rPr>
        <w:t xml:space="preserve"> это важнейшие факторы совершения преступлений и правонарушений.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В целом рост подростковой преступности создаёт предпосылки для роста общей преступности. В целях профилактики преступлений и правонарушений среди несовершеннолетних необходимо проводить разъяснительные и профилактические беседы, привлекать их к участию в различных общественных мероприятиях, секциях. Доступность образования должна быть одинаковой для всех слоёв населения с различным материальным положением, что на данный момент не является таковым. </w:t>
      </w:r>
    </w:p>
    <w:p>
      <w:pPr>
        <w:pStyle w:val="Normal"/>
        <w:spacing w:lineRule="auto" w:line="240" w:before="0" w:after="0"/>
        <w:jc w:val="both"/>
        <w:rPr>
          <w:rFonts w:ascii="Times New Roman" w:hAnsi="Times New Roman" w:cs="Times New Roman"/>
          <w:b/>
          <w:b/>
          <w:sz w:val="28"/>
          <w:szCs w:val="28"/>
        </w:rPr>
      </w:pPr>
      <w:r>
        <w:rPr>
          <w:rFonts w:cs="Times New Roman" w:ascii="Times New Roman" w:hAnsi="Times New Roman"/>
          <w:b/>
          <w:sz w:val="28"/>
          <w:szCs w:val="28"/>
        </w:rPr>
        <w:t xml:space="preserve">                                            </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ЗАКЛЮЧЕНИЕ</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Итак, мы определили, что девиантное (отклоняющееся) поведение - это</w:t>
        <w:br/>
        <w:t>поведение индивида или группы, которое не соответствует общепринятым</w:t>
        <w:br/>
        <w:t>нормам, в результате чего эти нормы ими нарушаются, такой</w:t>
        <w:br/>
        <w:t>индивид легко впадает в состояние «социальной дезорганизации», когда</w:t>
        <w:br/>
        <w:t>культурные нормы, ценности и социальные взаимосвязи отсутствуют,</w:t>
        <w:br/>
        <w:t>ослабевают или противоречат друг другу. Такое состояние называется</w:t>
        <w:br/>
        <w:t xml:space="preserve">аномией и является основной причиной отклоняющегося поведения. Также  в ходе исследования гипотеза о том, что подростки в возрасте 15-18 лет имеют склонность к девиантному поведению, была подтверждена.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Учитывая, что девиантное поведение может принимать самые разные формы (как негативные, так и позитивные), необходимо изучать данное явление, проявляя дифференцированный подход.</w:t>
      </w:r>
    </w:p>
    <w:p>
      <w:pPr>
        <w:pStyle w:val="HTMLPreformatted"/>
        <w:shd w:val="clear" w:color="auto" w:fill="FFFFFF"/>
        <w:jc w:val="both"/>
        <w:rPr>
          <w:rFonts w:ascii="Arial" w:hAnsi="Arial" w:cs="Arial"/>
          <w:color w:val="000000"/>
          <w:sz w:val="27"/>
          <w:szCs w:val="27"/>
        </w:rPr>
      </w:pPr>
      <w:r>
        <w:rPr>
          <w:rFonts w:cs="Arial" w:ascii="Arial" w:hAnsi="Arial"/>
          <w:color w:val="000000"/>
          <w:sz w:val="27"/>
          <w:szCs w:val="27"/>
        </w:rPr>
      </w:r>
    </w:p>
    <w:p>
      <w:pPr>
        <w:pStyle w:val="HTMLPreformatted"/>
        <w:shd w:val="clear" w:color="auto" w:fill="FFFFFF"/>
        <w:jc w:val="both"/>
        <w:rPr>
          <w:rFonts w:ascii="Arial" w:hAnsi="Arial" w:cs="Arial"/>
          <w:color w:val="000000"/>
          <w:sz w:val="27"/>
          <w:szCs w:val="27"/>
        </w:rPr>
      </w:pPr>
      <w:r>
        <w:rPr>
          <w:rFonts w:cs="Arial" w:ascii="Arial" w:hAnsi="Arial"/>
          <w:color w:val="000000"/>
          <w:sz w:val="27"/>
          <w:szCs w:val="27"/>
        </w:rPr>
      </w:r>
    </w:p>
    <w:p>
      <w:pPr>
        <w:pStyle w:val="HTMLPreformatted"/>
        <w:shd w:val="clear" w:color="auto" w:fill="FFFFFF"/>
        <w:jc w:val="both"/>
        <w:rPr>
          <w:rFonts w:ascii="Arial" w:hAnsi="Arial" w:cs="Arial"/>
          <w:color w:val="000000"/>
          <w:sz w:val="27"/>
          <w:szCs w:val="27"/>
        </w:rPr>
      </w:pPr>
      <w:r>
        <w:rPr>
          <w:rFonts w:cs="Arial" w:ascii="Arial" w:hAnsi="Arial"/>
          <w:color w:val="000000"/>
          <w:sz w:val="27"/>
          <w:szCs w:val="27"/>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СПИСОК ИСПОЛЬЗОВАННЫХ ИСТОЧНИКОВ</w:t>
        <w:br/>
        <w:br/>
        <w:t>1.Ланцова Л.А., Шурупова М.Ф. «Социологическая теория девиантного</w:t>
        <w:br/>
        <w:t>поведения», Социально-политический журнал №4, 1993г. </w:t>
        <w:br/>
        <w:t>2.Иванов В.Н. «Девиантное поведение: причины и масштабы»</w:t>
        <w:br/>
        <w:t>Социально-политический журнал №2, 1995г.</w:t>
        <w:br/>
        <w:t>3.Гофман А.Б. «Семь лекций по истории социологии», М., 1995</w:t>
        <w:br/>
        <w:t>4. Гилинский Я.И., Смолинский Л.Г. «Социодинамика самоубийств», Социс №5,  1988г. </w:t>
        <w:br/>
        <w:t>5. Голод С.И. «Проституция в контексте изменений половой морали», Социс</w:t>
        <w:br/>
        <w:t>№2,. 1988г. </w:t>
        <w:br/>
        <w:t>6.Петелин Б.Я. «Организованная преступность несовершеннолетних», Социс</w:t>
        <w:br/>
        <w:t>№9, 1990г. </w:t>
      </w:r>
    </w:p>
    <w:p>
      <w:pPr>
        <w:pStyle w:val="Normal"/>
        <w:spacing w:lineRule="auto" w:line="240" w:before="0" w:after="0"/>
        <w:rPr>
          <w:rFonts w:ascii="Times New Roman" w:hAnsi="Times New Roman" w:cs="Times New Roman"/>
          <w:color w:val="000000" w:themeColor="text1"/>
          <w:sz w:val="28"/>
          <w:szCs w:val="28"/>
        </w:rPr>
      </w:pPr>
      <w:r>
        <w:rPr>
          <w:rFonts w:cs="Times New Roman" w:ascii="Times New Roman" w:hAnsi="Times New Roman"/>
          <w:sz w:val="28"/>
          <w:szCs w:val="28"/>
        </w:rPr>
        <w:t>7. Девиантное поведение и его типы. [Электронный ресурс] /. – Режим доступа:</w:t>
      </w:r>
      <w:r>
        <w:rPr>
          <w:rFonts w:cs="Times New Roman" w:ascii="Times New Roman" w:hAnsi="Times New Roman"/>
          <w:color w:val="FF0000"/>
          <w:sz w:val="28"/>
          <w:szCs w:val="28"/>
        </w:rPr>
        <w:t xml:space="preserve"> </w:t>
      </w:r>
      <w:r>
        <w:rPr>
          <w:rFonts w:cs="Times New Roman" w:ascii="Times New Roman" w:hAnsi="Times New Roman"/>
          <w:color w:val="000000" w:themeColor="text1"/>
          <w:sz w:val="28"/>
          <w:szCs w:val="28"/>
        </w:rPr>
        <w:t>http://www.grandars.ru/college/sociologiya/socialnaya-deviaciya.html -Дата доступа:  20.02.2017.</w:t>
      </w:r>
    </w:p>
    <w:p>
      <w:pPr>
        <w:pStyle w:val="Normal"/>
        <w:spacing w:lineRule="auto" w:line="240" w:before="0" w:after="0"/>
        <w:rPr>
          <w:rFonts w:ascii="Times New Roman" w:hAnsi="Times New Roman" w:cs="Times New Roman"/>
          <w:color w:val="000000" w:themeColor="text1"/>
          <w:sz w:val="28"/>
          <w:szCs w:val="28"/>
        </w:rPr>
      </w:pPr>
      <w:r>
        <w:rPr>
          <w:rFonts w:cs="Times New Roman" w:ascii="Times New Roman" w:hAnsi="Times New Roman"/>
          <w:sz w:val="28"/>
          <w:szCs w:val="28"/>
        </w:rPr>
        <w:t xml:space="preserve">8. Девиантное поведение в подростковой среде. [Электронный ресурс] /. – Режим доступа:http://smolsoc.ru/index.php/home/2009-12-28-13-46-25/54-2010-09-07-19-09-09/1058-2011-02-01-01-44-43 – Дата доступа: 18.02.2017. </w:t>
      </w:r>
    </w:p>
    <w:p>
      <w:pPr>
        <w:pStyle w:val="HTMLPreformatted"/>
        <w:shd w:val="clear" w:color="auto" w:fill="FFFFFF"/>
        <w:jc w:val="both"/>
        <w:rPr>
          <w:rFonts w:ascii="Times New Roman" w:hAnsi="Times New Roman" w:eastAsia="BatangChe" w:cs="Times New Roman"/>
          <w:color w:val="000000"/>
          <w:sz w:val="28"/>
          <w:szCs w:val="28"/>
        </w:rPr>
      </w:pPr>
      <w:r>
        <w:rPr>
          <w:rFonts w:eastAsia="BatangChe" w:cs="Times New Roman" w:ascii="Times New Roman" w:hAnsi="Times New Roman"/>
          <w:color w:val="000000"/>
          <w:sz w:val="28"/>
          <w:szCs w:val="28"/>
        </w:rPr>
        <w:t>9.Общая статистика.</w:t>
      </w:r>
      <w:r>
        <w:rPr>
          <w:rFonts w:cs="Times New Roman" w:ascii="Times New Roman" w:hAnsi="Times New Roman"/>
          <w:sz w:val="28"/>
          <w:szCs w:val="28"/>
        </w:rPr>
        <w:t xml:space="preserve"> [Электронный ресурс] /. – Режим доступа:</w:t>
      </w:r>
      <w:r>
        <w:rPr>
          <w:rFonts w:eastAsia="BatangChe" w:cs="Times New Roman" w:ascii="Times New Roman" w:hAnsi="Times New Roman"/>
          <w:color w:val="000000"/>
          <w:sz w:val="28"/>
          <w:szCs w:val="28"/>
        </w:rPr>
        <w:t xml:space="preserve"> http://mvd.gov.by/main.aspx?guid=256493 – Дата доступа: 18.02.2017.</w:t>
      </w:r>
    </w:p>
    <w:p>
      <w:pPr>
        <w:pStyle w:val="HTMLPreformatted"/>
        <w:shd w:val="clear" w:color="auto" w:fill="FFFFFF"/>
        <w:jc w:val="both"/>
        <w:rPr>
          <w:rFonts w:ascii="Times New Roman" w:hAnsi="Times New Roman" w:eastAsia="BatangChe" w:cs="Times New Roman"/>
          <w:color w:val="000000"/>
          <w:sz w:val="28"/>
          <w:szCs w:val="28"/>
        </w:rPr>
      </w:pPr>
      <w:r>
        <w:rPr>
          <w:rFonts w:eastAsia="BatangChe" w:cs="Times New Roman" w:ascii="Times New Roman" w:hAnsi="Times New Roman"/>
          <w:color w:val="000000"/>
          <w:sz w:val="28"/>
          <w:szCs w:val="28"/>
        </w:rPr>
        <w:t>10.А.Н. Елсуков «Социология краткий курс», учебное пособие 2009г.</w:t>
      </w:r>
    </w:p>
    <w:p>
      <w:pPr>
        <w:pStyle w:val="HTMLPreformatted"/>
        <w:shd w:val="clear" w:color="auto" w:fill="FFFFFF"/>
        <w:jc w:val="both"/>
        <w:rPr>
          <w:rFonts w:ascii="Times New Roman" w:hAnsi="Times New Roman" w:eastAsia="BatangChe" w:cs="Times New Roman"/>
          <w:color w:val="000000"/>
          <w:sz w:val="28"/>
          <w:szCs w:val="28"/>
        </w:rPr>
      </w:pPr>
      <w:r>
        <w:rPr>
          <w:rFonts w:eastAsia="BatangChe" w:cs="Times New Roman" w:ascii="Times New Roman" w:hAnsi="Times New Roman"/>
          <w:color w:val="000000"/>
          <w:sz w:val="28"/>
          <w:szCs w:val="28"/>
        </w:rPr>
        <w:t>11.Е.М. Бабосов «Общая социология», учебное пособие для студентов ВУЗов 2002 г.</w:t>
      </w:r>
    </w:p>
    <w:p>
      <w:pPr>
        <w:pStyle w:val="Normal"/>
        <w:spacing w:lineRule="auto" w:line="240"/>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jc w:val="right"/>
        <w:rPr>
          <w:rFonts w:ascii="Times New Roman" w:hAnsi="Times New Roman" w:cs="Times New Roman"/>
          <w:sz w:val="28"/>
          <w:szCs w:val="28"/>
        </w:rPr>
      </w:pPr>
      <w:r>
        <w:rPr>
          <w:rFonts w:cs="Times New Roman" w:ascii="Times New Roman" w:hAnsi="Times New Roman"/>
          <w:sz w:val="28"/>
          <w:szCs w:val="28"/>
        </w:rPr>
        <w:t>Приложение А</w:t>
      </w:r>
    </w:p>
    <w:p>
      <w:pPr>
        <w:pStyle w:val="Normal"/>
        <w:spacing w:lineRule="auto" w:line="240" w:before="0" w:after="0"/>
        <w:jc w:val="center"/>
        <w:rPr>
          <w:rFonts w:ascii="Times New Roman" w:hAnsi="Times New Roman" w:cs="Times New Roman"/>
          <w:sz w:val="28"/>
          <w:szCs w:val="28"/>
        </w:rPr>
      </w:pPr>
      <w:bookmarkStart w:id="0" w:name="h.3j2qqm3"/>
      <w:bookmarkEnd w:id="0"/>
      <w:r>
        <w:rPr>
          <w:rFonts w:cs="Times New Roman" w:ascii="Times New Roman" w:hAnsi="Times New Roman"/>
          <w:sz w:val="28"/>
          <w:szCs w:val="28"/>
        </w:rPr>
        <w:t>АНКЕТА</w:t>
      </w:r>
    </w:p>
    <w:p>
      <w:pPr>
        <w:pStyle w:val="Normal"/>
        <w:spacing w:lineRule="auto" w:line="240" w:before="0" w:after="0"/>
        <w:jc w:val="both"/>
        <w:rPr>
          <w:rFonts w:ascii="Times New Roman" w:hAnsi="Times New Roman" w:cs="Times New Roman"/>
          <w:b/>
          <w:b/>
          <w:sz w:val="28"/>
          <w:szCs w:val="28"/>
        </w:rPr>
      </w:pPr>
      <w:r>
        <w:rPr>
          <w:rFonts w:cs="Times New Roman" w:ascii="Times New Roman" w:hAnsi="Times New Roman"/>
          <w:sz w:val="28"/>
          <w:szCs w:val="28"/>
        </w:rPr>
        <w:t xml:space="preserve">1. </w:t>
      </w:r>
      <w:r>
        <w:rPr>
          <w:rFonts w:cs="Times New Roman" w:ascii="Times New Roman" w:hAnsi="Times New Roman"/>
          <w:b/>
          <w:sz w:val="28"/>
          <w:szCs w:val="28"/>
        </w:rPr>
        <w:t>Как Вы проводите свободное время?</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А) читаю книги                                 Г) гуляю с друзьями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Б) смотрю телевизор                         Д) хожу на дискотеки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В)посещаю кружки секции                 Е)_________________________________</w:t>
      </w:r>
    </w:p>
    <w:p>
      <w:pPr>
        <w:pStyle w:val="Normal"/>
        <w:spacing w:lineRule="auto" w:line="240" w:before="0" w:after="0"/>
        <w:jc w:val="both"/>
        <w:rPr>
          <w:rFonts w:ascii="Times New Roman" w:hAnsi="Times New Roman" w:cs="Times New Roman"/>
          <w:b/>
          <w:b/>
          <w:sz w:val="28"/>
          <w:szCs w:val="28"/>
        </w:rPr>
      </w:pPr>
      <w:r>
        <w:rPr>
          <w:rFonts w:cs="Times New Roman" w:ascii="Times New Roman" w:hAnsi="Times New Roman"/>
          <w:sz w:val="28"/>
          <w:szCs w:val="28"/>
        </w:rPr>
        <w:t xml:space="preserve">2. </w:t>
      </w:r>
      <w:r>
        <w:rPr>
          <w:rFonts w:cs="Times New Roman" w:ascii="Times New Roman" w:hAnsi="Times New Roman"/>
          <w:b/>
          <w:sz w:val="28"/>
          <w:szCs w:val="28"/>
        </w:rPr>
        <w:t>В какое время суток Вы предпочитаете встречаться с друзьями?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А) днем Б) вечером В) в ночное время</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3</w:t>
      </w:r>
      <w:r>
        <w:rPr>
          <w:rFonts w:cs="Times New Roman" w:ascii="Times New Roman" w:hAnsi="Times New Roman"/>
          <w:b/>
          <w:sz w:val="28"/>
          <w:szCs w:val="28"/>
        </w:rPr>
        <w:t>. Как Вы оцениваете свою успеваемость?</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А) отлично                                 В) удовлетворительно</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Б) хорошо                                         Г) не удовлетворительно</w:t>
      </w:r>
    </w:p>
    <w:p>
      <w:pPr>
        <w:pStyle w:val="Normal"/>
        <w:spacing w:lineRule="auto" w:line="240" w:before="0" w:after="0"/>
        <w:jc w:val="both"/>
        <w:rPr>
          <w:rFonts w:ascii="Times New Roman" w:hAnsi="Times New Roman" w:cs="Times New Roman"/>
          <w:b/>
          <w:b/>
          <w:sz w:val="28"/>
          <w:szCs w:val="28"/>
        </w:rPr>
      </w:pPr>
      <w:r>
        <w:rPr>
          <w:rFonts w:cs="Times New Roman" w:ascii="Times New Roman" w:hAnsi="Times New Roman"/>
          <w:sz w:val="28"/>
          <w:szCs w:val="28"/>
        </w:rPr>
        <w:t xml:space="preserve">4. </w:t>
      </w:r>
      <w:r>
        <w:rPr>
          <w:rFonts w:cs="Times New Roman" w:ascii="Times New Roman" w:hAnsi="Times New Roman"/>
          <w:b/>
          <w:sz w:val="28"/>
          <w:szCs w:val="28"/>
        </w:rPr>
        <w:t>Вы посещаете учебу, так как</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А) заставляют родители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Б) нравиться</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В)_________________________________</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 xml:space="preserve">5. </w:t>
      </w:r>
      <w:r>
        <w:rPr>
          <w:rFonts w:cs="Times New Roman" w:ascii="Times New Roman" w:hAnsi="Times New Roman"/>
          <w:b/>
          <w:sz w:val="28"/>
          <w:szCs w:val="28"/>
        </w:rPr>
        <w:t>С кем Вы проживаете?</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 xml:space="preserve">____________________________________________________________________6. </w:t>
      </w:r>
      <w:r>
        <w:rPr>
          <w:rFonts w:cs="Times New Roman" w:ascii="Times New Roman" w:hAnsi="Times New Roman"/>
          <w:b/>
          <w:sz w:val="28"/>
          <w:szCs w:val="28"/>
        </w:rPr>
        <w:t>Кто из родителей занимается Вашим воспитанием?</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А) мать Б) отец                 В) бабушка и дедушка                 Г) оба родителя</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7</w:t>
      </w:r>
      <w:r>
        <w:rPr>
          <w:rFonts w:cs="Times New Roman" w:ascii="Times New Roman" w:hAnsi="Times New Roman"/>
          <w:b/>
          <w:sz w:val="28"/>
          <w:szCs w:val="28"/>
        </w:rPr>
        <w:t>. Где работают Ваши родители?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А) в городе Могилеве       Б) в других городах                 В) не работают</w:t>
      </w:r>
    </w:p>
    <w:p>
      <w:pPr>
        <w:pStyle w:val="Normal"/>
        <w:spacing w:lineRule="auto" w:line="240" w:before="0" w:after="0"/>
        <w:jc w:val="both"/>
        <w:rPr>
          <w:rFonts w:ascii="Times New Roman" w:hAnsi="Times New Roman" w:cs="Times New Roman"/>
          <w:b/>
          <w:b/>
          <w:sz w:val="28"/>
          <w:szCs w:val="28"/>
        </w:rPr>
      </w:pPr>
      <w:r>
        <w:rPr>
          <w:rFonts w:cs="Times New Roman" w:ascii="Times New Roman" w:hAnsi="Times New Roman"/>
          <w:sz w:val="28"/>
          <w:szCs w:val="28"/>
        </w:rPr>
        <w:t xml:space="preserve">8. </w:t>
      </w:r>
      <w:r>
        <w:rPr>
          <w:rFonts w:cs="Times New Roman" w:ascii="Times New Roman" w:hAnsi="Times New Roman"/>
          <w:b/>
          <w:sz w:val="28"/>
          <w:szCs w:val="28"/>
        </w:rPr>
        <w:t>Есть ли у Вас вредные привычки?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А) да (к вопросу 9)         Б) нет (к вопросу 10)</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9.</w:t>
      </w:r>
      <w:r>
        <w:rPr>
          <w:rFonts w:cs="Times New Roman" w:ascii="Times New Roman" w:hAnsi="Times New Roman"/>
          <w:b/>
          <w:sz w:val="28"/>
          <w:szCs w:val="28"/>
        </w:rPr>
        <w:t xml:space="preserve"> Ваша вредная привычка</w:t>
      </w:r>
      <w:r>
        <w:rPr>
          <w:rFonts w:cs="Times New Roman" w:ascii="Times New Roman" w:hAnsi="Times New Roman"/>
          <w:sz w:val="28"/>
          <w:szCs w:val="28"/>
        </w:rPr>
        <w:t>?</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А) курение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Б) употребление наркотических или токсических веществ</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В) употребление алкоголя</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Г) ________________________________________________________</w:t>
        <w:br/>
      </w:r>
    </w:p>
    <w:p>
      <w:pPr>
        <w:pStyle w:val="Normal"/>
        <w:spacing w:lineRule="auto" w:line="240" w:before="0" w:after="0"/>
        <w:jc w:val="both"/>
        <w:rPr>
          <w:rFonts w:ascii="Times New Roman" w:hAnsi="Times New Roman" w:cs="Times New Roman"/>
          <w:b/>
          <w:b/>
          <w:sz w:val="28"/>
          <w:szCs w:val="28"/>
        </w:rPr>
      </w:pPr>
      <w:r>
        <w:rPr>
          <w:rFonts w:cs="Times New Roman" w:ascii="Times New Roman" w:hAnsi="Times New Roman"/>
          <w:sz w:val="28"/>
          <w:szCs w:val="28"/>
        </w:rPr>
        <w:t xml:space="preserve">10. </w:t>
      </w:r>
      <w:r>
        <w:rPr>
          <w:rFonts w:cs="Times New Roman" w:ascii="Times New Roman" w:hAnsi="Times New Roman"/>
          <w:b/>
          <w:sz w:val="28"/>
          <w:szCs w:val="28"/>
        </w:rPr>
        <w:t>Есть ли вредные привычки у ваших родителей? Какие?</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А) курение  Б) употребление наркотических или токсических веществ</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В) употребление алкоголя</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Г) ________________________________________________________</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 xml:space="preserve">11. </w:t>
      </w:r>
      <w:r>
        <w:rPr>
          <w:rFonts w:cs="Times New Roman" w:ascii="Times New Roman" w:hAnsi="Times New Roman"/>
          <w:b/>
          <w:sz w:val="28"/>
          <w:szCs w:val="28"/>
        </w:rPr>
        <w:t>Ваш пол</w:t>
      </w:r>
      <w:r>
        <w:rPr>
          <w:rFonts w:cs="Times New Roman" w:ascii="Times New Roman" w:hAnsi="Times New Roman"/>
          <w:sz w:val="28"/>
          <w:szCs w:val="28"/>
        </w:rPr>
        <w:t>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А) женский         Б) мужской</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 xml:space="preserve">12. </w:t>
      </w:r>
      <w:r>
        <w:rPr>
          <w:rFonts w:cs="Times New Roman" w:ascii="Times New Roman" w:hAnsi="Times New Roman"/>
          <w:b/>
          <w:sz w:val="28"/>
          <w:szCs w:val="28"/>
        </w:rPr>
        <w:t>Ваш возраст</w:t>
      </w:r>
      <w:r>
        <w:rPr>
          <w:rFonts w:cs="Times New Roman" w:ascii="Times New Roman" w:hAnsi="Times New Roman"/>
          <w:sz w:val="28"/>
          <w:szCs w:val="28"/>
        </w:rPr>
        <w:t> __________________</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drawing>
          <wp:inline distT="0" distB="0" distL="0" distR="0">
            <wp:extent cx="4725035" cy="2646045"/>
            <wp:effectExtent l="0" t="0" r="0" b="0"/>
            <wp:docPr id="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drawing>
          <wp:inline distT="0" distB="0" distL="0" distR="0">
            <wp:extent cx="4085590" cy="2560320"/>
            <wp:effectExtent l="0" t="0" r="0" b="0"/>
            <wp:docPr id="2"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drawing>
          <wp:inline distT="0" distB="0" distL="0" distR="0">
            <wp:extent cx="4305300" cy="2183765"/>
            <wp:effectExtent l="0" t="0" r="0" b="0"/>
            <wp:docPr id="3"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drawing>
          <wp:inline distT="0" distB="0" distL="0" distR="0">
            <wp:extent cx="4154805" cy="2441575"/>
            <wp:effectExtent l="0" t="0" r="0" b="0"/>
            <wp:docPr id="4"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ind w:firstLine="709"/>
        <w:rPr>
          <w:rFonts w:ascii="Times New Roman" w:hAnsi="Times New Roman" w:cs="Times New Roman"/>
          <w:sz w:val="28"/>
          <w:szCs w:val="28"/>
        </w:rPr>
      </w:pPr>
      <w:r>
        <w:rPr/>
        <w:drawing>
          <wp:inline distT="0" distB="0" distL="0" distR="0">
            <wp:extent cx="4340225" cy="2302510"/>
            <wp:effectExtent l="0" t="0" r="0" b="0"/>
            <wp:docPr id="5"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Normal"/>
        <w:spacing w:lineRule="auto" w:line="240"/>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ind w:firstLine="709"/>
        <w:rPr>
          <w:rFonts w:ascii="Times New Roman" w:hAnsi="Times New Roman" w:cs="Times New Roman"/>
          <w:sz w:val="28"/>
          <w:szCs w:val="28"/>
        </w:rPr>
      </w:pPr>
      <w:r>
        <w:rPr/>
        <w:drawing>
          <wp:inline distT="0" distB="0" distL="0" distR="0">
            <wp:extent cx="3961130" cy="2044065"/>
            <wp:effectExtent l="0" t="0" r="0" b="0"/>
            <wp:docPr id="6"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Normal"/>
        <w:spacing w:lineRule="auto" w:line="240"/>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ind w:firstLine="709"/>
        <w:rPr>
          <w:rFonts w:ascii="Times New Roman" w:hAnsi="Times New Roman" w:cs="Times New Roman"/>
          <w:sz w:val="28"/>
          <w:szCs w:val="28"/>
        </w:rPr>
      </w:pPr>
      <w:r>
        <w:rPr/>
        <w:drawing>
          <wp:inline distT="0" distB="0" distL="0" distR="0">
            <wp:extent cx="3823335" cy="2366645"/>
            <wp:effectExtent l="0" t="0" r="0" b="0"/>
            <wp:docPr id="7"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Normal"/>
        <w:spacing w:lineRule="auto" w:line="240"/>
        <w:ind w:firstLine="709"/>
        <w:rPr>
          <w:rFonts w:ascii="Times New Roman" w:hAnsi="Times New Roman" w:cs="Times New Roman"/>
          <w:sz w:val="28"/>
          <w:szCs w:val="28"/>
        </w:rPr>
      </w:pPr>
      <w:r>
        <w:rPr/>
        <w:drawing>
          <wp:inline distT="0" distB="0" distL="0" distR="0">
            <wp:extent cx="2971165" cy="2506980"/>
            <wp:effectExtent l="0" t="0" r="0" b="0"/>
            <wp:docPr id="8"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Normal"/>
        <w:spacing w:lineRule="auto" w:line="240"/>
        <w:ind w:firstLine="709"/>
        <w:rPr>
          <w:rFonts w:ascii="Times New Roman" w:hAnsi="Times New Roman" w:cs="Times New Roman"/>
          <w:sz w:val="28"/>
          <w:szCs w:val="28"/>
        </w:rPr>
      </w:pPr>
      <w:r>
        <w:rPr/>
        <w:drawing>
          <wp:inline distT="0" distB="0" distL="0" distR="0">
            <wp:extent cx="3488055" cy="2065020"/>
            <wp:effectExtent l="0" t="0" r="0" b="0"/>
            <wp:docPr id="9"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Normal"/>
        <w:spacing w:lineRule="auto" w:line="240"/>
        <w:ind w:firstLine="709"/>
        <w:rPr>
          <w:rFonts w:ascii="Times New Roman" w:hAnsi="Times New Roman" w:cs="Times New Roman"/>
          <w:sz w:val="28"/>
          <w:szCs w:val="28"/>
        </w:rPr>
      </w:pPr>
      <w:r>
        <w:rPr/>
        <w:drawing>
          <wp:inline distT="0" distB="0" distL="0" distR="0">
            <wp:extent cx="3665855" cy="2522220"/>
            <wp:effectExtent l="0" t="0" r="0" b="0"/>
            <wp:docPr id="10"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Style w:val="Normal"/>
        <w:spacing w:lineRule="auto" w:line="240"/>
        <w:ind w:firstLine="709"/>
        <w:rPr>
          <w:rFonts w:ascii="Times New Roman" w:hAnsi="Times New Roman" w:cs="Times New Roman"/>
          <w:sz w:val="28"/>
          <w:szCs w:val="28"/>
        </w:rPr>
      </w:pPr>
      <w:r>
        <w:rPr/>
        <w:drawing>
          <wp:inline distT="0" distB="0" distL="0" distR="0">
            <wp:extent cx="3530600" cy="2926080"/>
            <wp:effectExtent l="0" t="0" r="0" b="0"/>
            <wp:docPr id="1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drawing>
          <wp:inline distT="0" distB="0" distL="0" distR="0">
            <wp:extent cx="4821555" cy="3001010"/>
            <wp:effectExtent l="0" t="0" r="0" b="0"/>
            <wp:docPr id="12"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pStyle w:val="Normal"/>
        <w:spacing w:lineRule="auto" w:line="24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jc w:val="right"/>
        <w:rPr>
          <w:rFonts w:ascii="Times New Roman" w:hAnsi="Times New Roman" w:cs="Times New Roman"/>
          <w:sz w:val="28"/>
          <w:szCs w:val="28"/>
        </w:rPr>
      </w:pPr>
      <w:r>
        <w:rPr>
          <w:rFonts w:cs="Times New Roman" w:ascii="Times New Roman" w:hAnsi="Times New Roman"/>
          <w:sz w:val="28"/>
          <w:szCs w:val="28"/>
        </w:rPr>
        <w:t>Приложение Б</w:t>
      </w:r>
    </w:p>
    <w:p>
      <w:pPr>
        <w:pStyle w:val="Normal"/>
        <w:spacing w:lineRule="auto" w:line="240"/>
        <w:jc w:val="center"/>
        <w:rPr>
          <w:rFonts w:ascii="Times New Roman" w:hAnsi="Times New Roman" w:cs="Times New Roman"/>
          <w:sz w:val="28"/>
          <w:szCs w:val="28"/>
        </w:rPr>
      </w:pPr>
      <w:r>
        <w:rPr>
          <w:rFonts w:cs="Times New Roman" w:ascii="Times New Roman" w:hAnsi="Times New Roman"/>
          <w:sz w:val="28"/>
          <w:szCs w:val="28"/>
        </w:rPr>
        <w:t>ОБЩАЯ СТАТИСТИКА ЗА 2015 ГОД</w:t>
      </w:r>
    </w:p>
    <w:p>
      <w:pPr>
        <w:pStyle w:val="Normal"/>
        <w:spacing w:lineRule="auto" w:line="240"/>
        <w:ind w:firstLine="709"/>
        <w:jc w:val="both"/>
        <w:rPr>
          <w:rFonts w:ascii="Times New Roman" w:hAnsi="Times New Roman" w:cs="Times New Roman"/>
          <w:sz w:val="28"/>
          <w:szCs w:val="28"/>
        </w:rPr>
      </w:pPr>
      <w:r>
        <w:rPr>
          <w:rFonts w:cs="Times New Roman" w:ascii="Times New Roman" w:hAnsi="Times New Roman"/>
          <w:sz w:val="28"/>
          <w:szCs w:val="28"/>
        </w:rPr>
        <w:t> </w:t>
      </w:r>
      <w:r>
        <w:rPr>
          <w:rFonts w:cs="Times New Roman" w:ascii="Times New Roman" w:hAnsi="Times New Roman"/>
          <w:sz w:val="28"/>
          <w:szCs w:val="28"/>
        </w:rPr>
        <w:t>По данным Министерства внутренних дел, в 2015 году в республике зарегистрировано 96 982 преступления, или 103,2% к уровню 2014 года.</w:t>
      </w:r>
    </w:p>
    <w:p>
      <w:pPr>
        <w:pStyle w:val="Normal"/>
        <w:spacing w:lineRule="auto" w:line="240"/>
        <w:ind w:firstLine="709"/>
        <w:jc w:val="both"/>
        <w:rPr>
          <w:rFonts w:ascii="Times New Roman" w:hAnsi="Times New Roman" w:cs="Times New Roman"/>
          <w:sz w:val="28"/>
          <w:szCs w:val="28"/>
        </w:rPr>
      </w:pPr>
      <w:r>
        <w:rPr>
          <w:rFonts w:cs="Times New Roman" w:ascii="Times New Roman" w:hAnsi="Times New Roman"/>
          <w:sz w:val="28"/>
          <w:szCs w:val="28"/>
        </w:rPr>
        <w:t>На 100 000 человек населения в 2015 году в республике зарегистрировано 1 024 преступления (в 2014 году – 992 преступления).</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Число зарегистрированных преступлений и уровень преступности по областям и г. Минску в 2015 году</w:t>
      </w:r>
      <w:r>
        <mc:AlternateContent>
          <mc:Choice Requires="wps">
            <w:drawing>
              <wp:anchor behindDoc="0" distT="0" distB="0" distL="114300" distR="114300" simplePos="0" locked="0" layoutInCell="1" allowOverlap="1" relativeHeight="2">
                <wp:simplePos x="0" y="0"/>
                <wp:positionH relativeFrom="margin">
                  <wp:align>center</wp:align>
                </wp:positionH>
                <wp:positionV relativeFrom="paragraph">
                  <wp:posOffset>705485</wp:posOffset>
                </wp:positionV>
                <wp:extent cx="5831205" cy="3040380"/>
                <wp:effectExtent l="0" t="0" r="0" b="0"/>
                <wp:wrapSquare wrapText="bothSides"/>
                <wp:docPr id="13" name="Врезка1"/>
                <a:graphic xmlns:a="http://schemas.openxmlformats.org/drawingml/2006/main">
                  <a:graphicData uri="http://schemas.microsoft.com/office/word/2010/wordprocessingShape">
                    <wps:wsp>
                      <wps:cNvSpPr txBox="1"/>
                      <wps:spPr>
                        <a:xfrm>
                          <a:off x="0" y="0"/>
                          <a:ext cx="5831205" cy="3040380"/>
                        </a:xfrm>
                        <a:prstGeom prst="rect"/>
                      </wps:spPr>
                      <wps:txbx>
                        <w:txbxContent>
                          <w:tbl>
                            <w:tblPr>
                              <w:tblpPr w:bottomFromText="0" w:horzAnchor="margin" w:leftFromText="180" w:rightFromText="180" w:tblpX="0" w:tblpXSpec="center" w:tblpY="1111" w:topFromText="0" w:vertAnchor="text"/>
                              <w:tblW w:w="9183" w:type="dxa"/>
                              <w:jc w:val="center"/>
                              <w:tblInd w:w="0"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0" w:type="dxa"/>
                                <w:left w:w="-22" w:type="dxa"/>
                                <w:bottom w:w="0" w:type="dxa"/>
                                <w:right w:w="0" w:type="dxa"/>
                              </w:tblCellMar>
                              <w:tblLook w:val="04a0"/>
                            </w:tblPr>
                            <w:tblGrid>
                              <w:gridCol w:w="2552"/>
                              <w:gridCol w:w="2074"/>
                              <w:gridCol w:w="2186"/>
                              <w:gridCol w:w="1"/>
                              <w:gridCol w:w="2369"/>
                            </w:tblGrid>
                            <w:tr>
                              <w:trPr>
                                <w:trHeight w:val="314" w:hRule="atLeast"/>
                              </w:trPr>
                              <w:tc>
                                <w:tcPr>
                                  <w:tcW w:w="2552" w:type="dxa"/>
                                  <w:vMerge w:val="restart"/>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4260"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center"/>
                                </w:tcPr>
                                <w:p>
                                  <w:pPr>
                                    <w:pStyle w:val="Normal"/>
                                    <w:spacing w:lineRule="auto" w:line="240" w:before="0" w:after="0"/>
                                    <w:jc w:val="center"/>
                                    <w:rPr/>
                                  </w:pPr>
                                  <w:r>
                                    <w:rPr>
                                      <w:rFonts w:cs="Times New Roman" w:ascii="Times New Roman" w:hAnsi="Times New Roman"/>
                                      <w:sz w:val="24"/>
                                      <w:szCs w:val="24"/>
                                    </w:rPr>
                                    <w:t>Число зарегистрированных преступлений</w:t>
                                  </w:r>
                                </w:p>
                              </w:tc>
                              <w:tc>
                                <w:tcPr>
                                  <w:tcW w:w="2370"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center"/>
                                </w:tcPr>
                                <w:p>
                                  <w:pPr>
                                    <w:pStyle w:val="Normal"/>
                                    <w:spacing w:lineRule="auto" w:line="240" w:before="0" w:after="0"/>
                                    <w:jc w:val="center"/>
                                    <w:rPr/>
                                  </w:pPr>
                                  <w:r>
                                    <w:rPr>
                                      <w:rFonts w:cs="Times New Roman" w:ascii="Times New Roman" w:hAnsi="Times New Roman"/>
                                      <w:sz w:val="24"/>
                                      <w:szCs w:val="24"/>
                                    </w:rPr>
                                    <w:t>Уровень преступности </w:t>
                                    <w:br/>
                                    <w:t>на 100 000 человек населения</w:t>
                                  </w:r>
                                </w:p>
                              </w:tc>
                            </w:tr>
                            <w:tr>
                              <w:trPr>
                                <w:trHeight w:val="22" w:hRule="atLeast"/>
                              </w:trPr>
                              <w:tc>
                                <w:tcPr>
                                  <w:tcW w:w="2552" w:type="dxa"/>
                                  <w:vMerge w:val="continue"/>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center"/>
                                </w:tcPr>
                                <w:p>
                                  <w:pPr>
                                    <w:pStyle w:val="Normal"/>
                                    <w:spacing w:lineRule="auto" w:line="240" w:before="0" w:after="0"/>
                                    <w:jc w:val="center"/>
                                    <w:rPr/>
                                  </w:pPr>
                                  <w:r>
                                    <w:rPr>
                                      <w:rFonts w:cs="Times New Roman" w:ascii="Times New Roman" w:hAnsi="Times New Roman"/>
                                      <w:sz w:val="24"/>
                                      <w:szCs w:val="24"/>
                                    </w:rPr>
                                    <w:t>случаев</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center"/>
                                </w:tcPr>
                                <w:p>
                                  <w:pPr>
                                    <w:pStyle w:val="Normal"/>
                                    <w:spacing w:lineRule="auto" w:line="240" w:before="0" w:after="0"/>
                                    <w:jc w:val="center"/>
                                    <w:rPr/>
                                  </w:pPr>
                                  <w:r>
                                    <w:rPr>
                                      <w:rFonts w:cs="Times New Roman" w:ascii="Times New Roman" w:hAnsi="Times New Roman"/>
                                      <w:sz w:val="24"/>
                                      <w:szCs w:val="24"/>
                                    </w:rPr>
                                    <w:t>темпы прироста (снижения)</w:t>
                                  </w:r>
                                </w:p>
                                <w:p>
                                  <w:pPr>
                                    <w:pStyle w:val="Normal"/>
                                    <w:spacing w:lineRule="auto" w:line="240" w:before="0" w:after="0"/>
                                    <w:jc w:val="center"/>
                                    <w:rPr/>
                                  </w:pPr>
                                  <w:r>
                                    <w:rPr>
                                      <w:rFonts w:cs="Times New Roman" w:ascii="Times New Roman" w:hAnsi="Times New Roman"/>
                                      <w:sz w:val="24"/>
                                      <w:szCs w:val="24"/>
                                    </w:rPr>
                                    <w:t>к 2014 г.,</w:t>
                                  </w:r>
                                  <w:bookmarkStart w:id="1" w:name="_GoBack1"/>
                                  <w:bookmarkEnd w:id="1"/>
                                  <w:r>
                                    <w:rPr>
                                      <w:rFonts w:cs="Times New Roman" w:ascii="Times New Roman" w:hAnsi="Times New Roman"/>
                                      <w:sz w:val="24"/>
                                      <w:szCs w:val="24"/>
                                    </w:rPr>
                                    <w:t>в %</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center"/>
                                </w:tcPr>
                                <w:p>
                                  <w:pPr>
                                    <w:pStyle w:val="Normal"/>
                                    <w:spacing w:lineRule="auto" w:line="240" w:before="0" w:after="0"/>
                                    <w:jc w:val="center"/>
                                    <w:rPr/>
                                  </w:pPr>
                                  <w:r>
                                    <w:rPr>
                                      <w:rFonts w:cs="Times New Roman" w:ascii="Times New Roman" w:hAnsi="Times New Roman"/>
                                      <w:sz w:val="24"/>
                                      <w:szCs w:val="24"/>
                                    </w:rPr>
                                    <w:t>случаев</w:t>
                                  </w:r>
                                </w:p>
                              </w:tc>
                            </w:tr>
                            <w:tr>
                              <w:trPr>
                                <w:trHeight w:val="141"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Республика Беларусь</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96 982</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3,2</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1 024</w:t>
                                  </w:r>
                                </w:p>
                              </w:tc>
                            </w:tr>
                            <w:tr>
                              <w:trPr>
                                <w:trHeight w:val="87"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области и г.Минск:</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r>
                              <w:trPr>
                                <w:trHeight w:val="87"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Брестская</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12 739</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9,8</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917</w:t>
                                  </w:r>
                                </w:p>
                              </w:tc>
                            </w:tr>
                            <w:tr>
                              <w:trPr>
                                <w:trHeight w:val="87"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Витебская</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11 297</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3,4</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941</w:t>
                                  </w:r>
                                </w:p>
                              </w:tc>
                            </w:tr>
                            <w:tr>
                              <w:trPr>
                                <w:trHeight w:val="87"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Гомельская</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14 771</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3,2</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1 037</w:t>
                                  </w:r>
                                </w:p>
                              </w:tc>
                            </w:tr>
                            <w:tr>
                              <w:trPr>
                                <w:trHeight w:val="87"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Гродненская</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9 648</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5,8</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916</w:t>
                                  </w:r>
                                </w:p>
                              </w:tc>
                            </w:tr>
                            <w:tr>
                              <w:trPr>
                                <w:trHeight w:val="87"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г.Минск</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20 248</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-2,5</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1 049</w:t>
                                  </w:r>
                                </w:p>
                              </w:tc>
                            </w:tr>
                            <w:tr>
                              <w:trPr>
                                <w:trHeight w:val="87"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Минская</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17 176</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3,2</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1 222</w:t>
                                  </w:r>
                                </w:p>
                              </w:tc>
                            </w:tr>
                            <w:tr>
                              <w:trPr>
                                <w:trHeight w:val="87"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Могилевская</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11 103</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5,4</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1 036</w:t>
                                  </w:r>
                                </w:p>
                              </w:tc>
                            </w:tr>
                          </w:tbl>
                        </w:txbxContent>
                      </wps:txbx>
                      <wps:bodyPr anchor="t" lIns="0" tIns="0" rIns="0" bIns="0">
                        <a:spAutoFit/>
                      </wps:bodyPr>
                    </wps:wsp>
                  </a:graphicData>
                </a:graphic>
              </wp:anchor>
            </w:drawing>
          </mc:Choice>
          <mc:Fallback>
            <w:pict>
              <v:rect style="position:absolute;rotation:0;width:459.15pt;height:239.4pt;mso-wrap-distance-left:9pt;mso-wrap-distance-right:9pt;mso-wrap-distance-top:0pt;mso-wrap-distance-bottom:0pt;margin-top:55.55pt;mso-position-vertical-relative:text;margin-left:11.4pt;mso-position-horizontal:center;mso-position-horizontal-relative:margin">
                <v:textbox inset="0in,0in,0in,0in">
                  <w:txbxContent>
                    <w:tbl>
                      <w:tblPr>
                        <w:tblpPr w:bottomFromText="0" w:horzAnchor="margin" w:leftFromText="180" w:rightFromText="180" w:tblpX="0" w:tblpXSpec="center" w:tblpY="1111" w:topFromText="0" w:vertAnchor="text"/>
                        <w:tblW w:w="9183" w:type="dxa"/>
                        <w:jc w:val="center"/>
                        <w:tblInd w:w="0"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0" w:type="dxa"/>
                          <w:left w:w="-22" w:type="dxa"/>
                          <w:bottom w:w="0" w:type="dxa"/>
                          <w:right w:w="0" w:type="dxa"/>
                        </w:tblCellMar>
                        <w:tblLook w:val="04a0"/>
                      </w:tblPr>
                      <w:tblGrid>
                        <w:gridCol w:w="2552"/>
                        <w:gridCol w:w="2074"/>
                        <w:gridCol w:w="2186"/>
                        <w:gridCol w:w="1"/>
                        <w:gridCol w:w="2369"/>
                      </w:tblGrid>
                      <w:tr>
                        <w:trPr>
                          <w:trHeight w:val="314" w:hRule="atLeast"/>
                        </w:trPr>
                        <w:tc>
                          <w:tcPr>
                            <w:tcW w:w="2552" w:type="dxa"/>
                            <w:vMerge w:val="restart"/>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4260"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center"/>
                          </w:tcPr>
                          <w:p>
                            <w:pPr>
                              <w:pStyle w:val="Normal"/>
                              <w:spacing w:lineRule="auto" w:line="240" w:before="0" w:after="0"/>
                              <w:jc w:val="center"/>
                              <w:rPr/>
                            </w:pPr>
                            <w:r>
                              <w:rPr>
                                <w:rFonts w:cs="Times New Roman" w:ascii="Times New Roman" w:hAnsi="Times New Roman"/>
                                <w:sz w:val="24"/>
                                <w:szCs w:val="24"/>
                              </w:rPr>
                              <w:t>Число зарегистрированных преступлений</w:t>
                            </w:r>
                          </w:p>
                        </w:tc>
                        <w:tc>
                          <w:tcPr>
                            <w:tcW w:w="2370"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center"/>
                          </w:tcPr>
                          <w:p>
                            <w:pPr>
                              <w:pStyle w:val="Normal"/>
                              <w:spacing w:lineRule="auto" w:line="240" w:before="0" w:after="0"/>
                              <w:jc w:val="center"/>
                              <w:rPr/>
                            </w:pPr>
                            <w:r>
                              <w:rPr>
                                <w:rFonts w:cs="Times New Roman" w:ascii="Times New Roman" w:hAnsi="Times New Roman"/>
                                <w:sz w:val="24"/>
                                <w:szCs w:val="24"/>
                              </w:rPr>
                              <w:t>Уровень преступности </w:t>
                              <w:br/>
                              <w:t>на 100 000 человек населения</w:t>
                            </w:r>
                          </w:p>
                        </w:tc>
                      </w:tr>
                      <w:tr>
                        <w:trPr>
                          <w:trHeight w:val="22" w:hRule="atLeast"/>
                        </w:trPr>
                        <w:tc>
                          <w:tcPr>
                            <w:tcW w:w="2552" w:type="dxa"/>
                            <w:vMerge w:val="continue"/>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center"/>
                          </w:tcPr>
                          <w:p>
                            <w:pPr>
                              <w:pStyle w:val="Normal"/>
                              <w:spacing w:lineRule="auto" w:line="240" w:before="0" w:after="0"/>
                              <w:jc w:val="center"/>
                              <w:rPr/>
                            </w:pPr>
                            <w:r>
                              <w:rPr>
                                <w:rFonts w:cs="Times New Roman" w:ascii="Times New Roman" w:hAnsi="Times New Roman"/>
                                <w:sz w:val="24"/>
                                <w:szCs w:val="24"/>
                              </w:rPr>
                              <w:t>случаев</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center"/>
                          </w:tcPr>
                          <w:p>
                            <w:pPr>
                              <w:pStyle w:val="Normal"/>
                              <w:spacing w:lineRule="auto" w:line="240" w:before="0" w:after="0"/>
                              <w:jc w:val="center"/>
                              <w:rPr/>
                            </w:pPr>
                            <w:r>
                              <w:rPr>
                                <w:rFonts w:cs="Times New Roman" w:ascii="Times New Roman" w:hAnsi="Times New Roman"/>
                                <w:sz w:val="24"/>
                                <w:szCs w:val="24"/>
                              </w:rPr>
                              <w:t>темпы прироста (снижения)</w:t>
                            </w:r>
                          </w:p>
                          <w:p>
                            <w:pPr>
                              <w:pStyle w:val="Normal"/>
                              <w:spacing w:lineRule="auto" w:line="240" w:before="0" w:after="0"/>
                              <w:jc w:val="center"/>
                              <w:rPr/>
                            </w:pPr>
                            <w:r>
                              <w:rPr>
                                <w:rFonts w:cs="Times New Roman" w:ascii="Times New Roman" w:hAnsi="Times New Roman"/>
                                <w:sz w:val="24"/>
                                <w:szCs w:val="24"/>
                              </w:rPr>
                              <w:t>к 2014 г.,</w:t>
                            </w:r>
                            <w:bookmarkStart w:id="2" w:name="_GoBack1"/>
                            <w:bookmarkEnd w:id="2"/>
                            <w:r>
                              <w:rPr>
                                <w:rFonts w:cs="Times New Roman" w:ascii="Times New Roman" w:hAnsi="Times New Roman"/>
                                <w:sz w:val="24"/>
                                <w:szCs w:val="24"/>
                              </w:rPr>
                              <w:t>в %</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center"/>
                          </w:tcPr>
                          <w:p>
                            <w:pPr>
                              <w:pStyle w:val="Normal"/>
                              <w:spacing w:lineRule="auto" w:line="240" w:before="0" w:after="0"/>
                              <w:jc w:val="center"/>
                              <w:rPr/>
                            </w:pPr>
                            <w:r>
                              <w:rPr>
                                <w:rFonts w:cs="Times New Roman" w:ascii="Times New Roman" w:hAnsi="Times New Roman"/>
                                <w:sz w:val="24"/>
                                <w:szCs w:val="24"/>
                              </w:rPr>
                              <w:t>случаев</w:t>
                            </w:r>
                          </w:p>
                        </w:tc>
                      </w:tr>
                      <w:tr>
                        <w:trPr>
                          <w:trHeight w:val="141"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Республика Беларусь</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96 982</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3,2</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1 024</w:t>
                            </w:r>
                          </w:p>
                        </w:tc>
                      </w:tr>
                      <w:tr>
                        <w:trPr>
                          <w:trHeight w:val="87"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области и г.Минск:</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r>
                        <w:trPr>
                          <w:trHeight w:val="87"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Брестская</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12 739</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9,8</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917</w:t>
                            </w:r>
                          </w:p>
                        </w:tc>
                      </w:tr>
                      <w:tr>
                        <w:trPr>
                          <w:trHeight w:val="87"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Витебская</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11 297</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3,4</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941</w:t>
                            </w:r>
                          </w:p>
                        </w:tc>
                      </w:tr>
                      <w:tr>
                        <w:trPr>
                          <w:trHeight w:val="87"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Гомельская</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14 771</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3,2</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1 037</w:t>
                            </w:r>
                          </w:p>
                        </w:tc>
                      </w:tr>
                      <w:tr>
                        <w:trPr>
                          <w:trHeight w:val="87"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Гродненская</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9 648</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5,8</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916</w:t>
                            </w:r>
                          </w:p>
                        </w:tc>
                      </w:tr>
                      <w:tr>
                        <w:trPr>
                          <w:trHeight w:val="87"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г.Минск</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20 248</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-2,5</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1 049</w:t>
                            </w:r>
                          </w:p>
                        </w:tc>
                      </w:tr>
                      <w:tr>
                        <w:trPr>
                          <w:trHeight w:val="87"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Минская</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17 176</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3,2</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1 222</w:t>
                            </w:r>
                          </w:p>
                        </w:tc>
                      </w:tr>
                      <w:tr>
                        <w:trPr>
                          <w:trHeight w:val="87" w:hRule="atLeast"/>
                        </w:trPr>
                        <w:tc>
                          <w:tcPr>
                            <w:tcW w:w="25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Могилевская</w:t>
                            </w:r>
                          </w:p>
                        </w:tc>
                        <w:tc>
                          <w:tcPr>
                            <w:tcW w:w="2074"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11 103</w:t>
                            </w:r>
                          </w:p>
                        </w:tc>
                        <w:tc>
                          <w:tcPr>
                            <w:tcW w:w="2187"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5,4</w:t>
                            </w:r>
                          </w:p>
                        </w:tc>
                        <w:tc>
                          <w:tcPr>
                            <w:tcW w:w="236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22" w:type="dxa"/>
                            </w:tcMar>
                            <w:vAlign w:val="bottom"/>
                          </w:tcPr>
                          <w:p>
                            <w:pPr>
                              <w:pStyle w:val="Normal"/>
                              <w:spacing w:lineRule="auto" w:line="240" w:before="0" w:after="0"/>
                              <w:jc w:val="center"/>
                              <w:rPr/>
                            </w:pPr>
                            <w:r>
                              <w:rPr>
                                <w:rFonts w:cs="Times New Roman" w:ascii="Times New Roman" w:hAnsi="Times New Roman"/>
                                <w:sz w:val="24"/>
                                <w:szCs w:val="24"/>
                              </w:rPr>
                              <w:t>1 036</w:t>
                            </w:r>
                          </w:p>
                        </w:tc>
                      </w:tr>
                    </w:tbl>
                  </w:txbxContent>
                </v:textbox>
                <w10:wrap type="square"/>
              </v:rect>
            </w:pict>
          </mc:Fallback>
        </mc:AlternateContent>
      </w:r>
    </w:p>
    <w:p>
      <w:pPr>
        <w:pStyle w:val="Normal"/>
        <w:spacing w:lineRule="auto" w:line="240"/>
        <w:jc w:val="both"/>
        <w:rPr>
          <w:rFonts w:ascii="Times New Roman" w:hAnsi="Times New Roman" w:cs="Times New Roman"/>
          <w:sz w:val="28"/>
          <w:szCs w:val="28"/>
        </w:rPr>
      </w:pPr>
      <w:r>
        <w:rPr>
          <w:rFonts w:cs="Times New Roman" w:ascii="Times New Roman" w:hAnsi="Times New Roman"/>
          <w:sz w:val="28"/>
          <w:szCs w:val="28"/>
        </w:rPr>
        <w:t> </w:t>
      </w:r>
    </w:p>
    <w:p>
      <w:pPr>
        <w:pStyle w:val="Normal"/>
        <w:spacing w:lineRule="auto" w:line="240"/>
        <w:ind w:firstLine="709"/>
        <w:jc w:val="both"/>
        <w:rPr>
          <w:rFonts w:ascii="Times New Roman" w:hAnsi="Times New Roman" w:cs="Times New Roman"/>
          <w:sz w:val="28"/>
          <w:szCs w:val="28"/>
        </w:rPr>
      </w:pPr>
      <w:r>
        <w:rPr>
          <w:rFonts w:cs="Times New Roman" w:ascii="Times New Roman" w:hAnsi="Times New Roman"/>
          <w:sz w:val="28"/>
          <w:szCs w:val="28"/>
        </w:rPr>
        <w:t>В 2015 году зарегистрировано 12 390 особо тяжких и тяжких преступлений, удельный вес которых в общем числе зарегистрированных преступлений составил 12,8% (в 2014 году – 10 842 преступления, или 11,5%).</w:t>
      </w:r>
    </w:p>
    <w:p>
      <w:pPr>
        <w:pStyle w:val="Normal"/>
        <w:spacing w:lineRule="auto" w:line="240"/>
        <w:ind w:firstLine="709"/>
        <w:jc w:val="both"/>
        <w:rPr>
          <w:rFonts w:ascii="Times New Roman" w:hAnsi="Times New Roman" w:cs="Times New Roman"/>
          <w:sz w:val="28"/>
          <w:szCs w:val="28"/>
        </w:rPr>
      </w:pPr>
      <w:r>
        <w:rPr>
          <w:rFonts w:cs="Times New Roman" w:ascii="Times New Roman" w:hAnsi="Times New Roman"/>
          <w:sz w:val="28"/>
          <w:szCs w:val="28"/>
        </w:rPr>
        <w:t>Зарегистрированные преступления по отдельным видам</w:t>
      </w:r>
    </w:p>
    <w:tbl>
      <w:tblPr>
        <w:tblW w:w="9668" w:type="dxa"/>
        <w:jc w:val="left"/>
        <w:tblInd w:w="0"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0" w:type="dxa"/>
          <w:left w:w="0" w:type="dxa"/>
          <w:bottom w:w="0" w:type="dxa"/>
          <w:right w:w="0" w:type="dxa"/>
        </w:tblCellMar>
        <w:tblLook w:val="04a0"/>
      </w:tblPr>
      <w:tblGrid>
        <w:gridCol w:w="4687"/>
        <w:gridCol w:w="2052"/>
        <w:gridCol w:w="2929"/>
      </w:tblGrid>
      <w:tr>
        <w:trPr>
          <w:tblHeader w:val="true"/>
        </w:trPr>
        <w:tc>
          <w:tcPr>
            <w:tcW w:w="4687" w:type="dxa"/>
            <w:vMerge w:val="restart"/>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tcPr>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c>
          <w:tcPr>
            <w:tcW w:w="4981"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2015 г.</w:t>
            </w:r>
          </w:p>
        </w:tc>
      </w:tr>
      <w:tr>
        <w:trPr>
          <w:tblHeader w:val="true"/>
        </w:trPr>
        <w:tc>
          <w:tcPr>
            <w:tcW w:w="4687" w:type="dxa"/>
            <w:vMerge w:val="continue"/>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случаев</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темпы прироста (снижения)</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к 2014 г., в %</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Зарегистрировано преступлений</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96 982</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3,2</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из них:</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особо тяжкие</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4 018</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17,6</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тяжкие</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8 372</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12,8</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менее тяжкие</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64 276</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0,9</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Из общего числа зарегистрированных преступлений:</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убийство и покушение на убийство</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423</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-3,4</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умышленное причинение тяжкого телесного повреждения</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842</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-9,1</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изнасилование и покушение </w:t>
              <w:br/>
              <w:t>на изнасилование</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145</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2,8</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кража</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40 417</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-0,3</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из квартир и частных домов</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10 791</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4,7</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вымогательство</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140</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-0,7</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грабеж</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2 116</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-2,5</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разбой</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284</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-1,7</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хулиганство</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3 956</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37,4</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взяточничество</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1 112</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42,2</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мошенничество</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3 768</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-7,5</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хищение путем злоупотребления служебными полномочиями</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703</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33,7</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хищение путем присвоения </w:t>
              <w:br/>
              <w:t>либо растраты</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725</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-2,6</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злоупотребление властью или </w:t>
              <w:br/>
              <w:t>служебными полномочиями</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279</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-6,4</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служебный подлог</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933</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14,6</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преступления, связанные </w:t>
              <w:br/>
              <w:t>с наркотиками</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7 296</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-0,8</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незаконный оборот наркотических средств, психотропных веществ, </w:t>
              <w:br/>
              <w:t>их прекурсоров и аналогов</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7 051</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-2,0</w:t>
            </w:r>
          </w:p>
        </w:tc>
      </w:tr>
      <w:tr>
        <w:trPr/>
        <w:tc>
          <w:tcPr>
            <w:tcW w:w="4687"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 том числе с целью сбыта</w:t>
            </w:r>
          </w:p>
        </w:tc>
        <w:tc>
          <w:tcPr>
            <w:tcW w:w="205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3 273</w:t>
            </w:r>
          </w:p>
        </w:tc>
        <w:tc>
          <w:tcPr>
            <w:tcW w:w="2929"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16,7</w:t>
            </w:r>
          </w:p>
        </w:tc>
      </w:tr>
    </w:tbl>
    <w:p>
      <w:pPr>
        <w:pStyle w:val="Normal"/>
        <w:spacing w:lineRule="auto" w:line="240"/>
        <w:jc w:val="both"/>
        <w:rPr>
          <w:rFonts w:ascii="Times New Roman" w:hAnsi="Times New Roman" w:cs="Times New Roman"/>
          <w:sz w:val="28"/>
          <w:szCs w:val="28"/>
        </w:rPr>
      </w:pPr>
      <w:r>
        <w:rPr>
          <w:rFonts w:cs="Times New Roman" w:ascii="Times New Roman" w:hAnsi="Times New Roman"/>
          <w:sz w:val="28"/>
          <w:szCs w:val="28"/>
        </w:rPr>
        <w:t> </w:t>
      </w:r>
    </w:p>
    <w:p>
      <w:pPr>
        <w:pStyle w:val="Normal"/>
        <w:spacing w:lineRule="auto" w:line="240"/>
        <w:ind w:firstLine="709"/>
        <w:jc w:val="both"/>
        <w:rPr>
          <w:rFonts w:ascii="Times New Roman" w:hAnsi="Times New Roman" w:cs="Times New Roman"/>
          <w:sz w:val="28"/>
          <w:szCs w:val="28"/>
        </w:rPr>
      </w:pPr>
      <w:r>
        <w:rPr>
          <w:rFonts w:cs="Times New Roman" w:ascii="Times New Roman" w:hAnsi="Times New Roman"/>
          <w:sz w:val="28"/>
          <w:szCs w:val="28"/>
        </w:rPr>
        <w:t>В республике в 2015 году зарегистрировано 2 894 преступления против порядка осуществления экономической деятельности, что на 14,8% больше, чем в 2014 году, из них особо тяжких – 15 преступлений (в 3,8 раза больше).</w:t>
      </w:r>
    </w:p>
    <w:p>
      <w:pPr>
        <w:pStyle w:val="Normal"/>
        <w:ind w:firstLine="709"/>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В 2015 году предварительное расследование окончено по 66,6 тыс. преступлениям, что на 5,5% больше, чем в 2014 году.</w:t>
      </w:r>
    </w:p>
    <w:p>
      <w:pPr>
        <w:pStyle w:val="Normal"/>
        <w:spacing w:lineRule="auto" w:line="240"/>
        <w:ind w:firstLine="709"/>
        <w:jc w:val="center"/>
        <w:rPr>
          <w:rFonts w:ascii="Times New Roman" w:hAnsi="Times New Roman" w:cs="Times New Roman"/>
          <w:sz w:val="28"/>
          <w:szCs w:val="28"/>
        </w:rPr>
      </w:pPr>
      <w:r>
        <w:rPr>
          <w:rFonts w:cs="Times New Roman" w:ascii="Times New Roman" w:hAnsi="Times New Roman"/>
          <w:sz w:val="28"/>
          <w:szCs w:val="28"/>
        </w:rPr>
        <w:t>Преступления, предварительное расследование по которым окончено</w:t>
      </w:r>
    </w:p>
    <w:tbl>
      <w:tblPr>
        <w:tblW w:w="9371" w:type="dxa"/>
        <w:jc w:val="left"/>
        <w:tblInd w:w="0"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0" w:type="dxa"/>
          <w:left w:w="0" w:type="dxa"/>
          <w:bottom w:w="0" w:type="dxa"/>
          <w:right w:w="0" w:type="dxa"/>
        </w:tblCellMar>
        <w:tblLook w:val="04a0"/>
      </w:tblPr>
      <w:tblGrid>
        <w:gridCol w:w="5402"/>
        <w:gridCol w:w="1843"/>
        <w:gridCol w:w="2126"/>
      </w:tblGrid>
      <w:tr>
        <w:trPr>
          <w:tblHeader w:val="true"/>
        </w:trPr>
        <w:tc>
          <w:tcPr>
            <w:tcW w:w="5402" w:type="dxa"/>
            <w:vMerge w:val="restart"/>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 </w:t>
            </w:r>
          </w:p>
        </w:tc>
        <w:tc>
          <w:tcPr>
            <w:tcW w:w="3969"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2015 г.</w:t>
            </w:r>
          </w:p>
        </w:tc>
      </w:tr>
      <w:tr>
        <w:trPr>
          <w:tblHeader w:val="true"/>
        </w:trPr>
        <w:tc>
          <w:tcPr>
            <w:tcW w:w="5402" w:type="dxa"/>
            <w:vMerge w:val="continue"/>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случаев</w:t>
            </w:r>
          </w:p>
        </w:tc>
        <w:tc>
          <w:tcPr>
            <w:tcW w:w="2126"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темпы прироста (снижения)</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к 2014 г.,</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 %</w:t>
            </w:r>
          </w:p>
        </w:tc>
      </w:tr>
      <w:tr>
        <w:trPr/>
        <w:tc>
          <w:tcPr>
            <w:tcW w:w="540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Преступления, предварительное</w:t>
              <w:br/>
              <w:t>расследование по которым окончено</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66 601</w:t>
            </w:r>
          </w:p>
        </w:tc>
        <w:tc>
          <w:tcPr>
            <w:tcW w:w="2126"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5,5</w:t>
            </w:r>
          </w:p>
        </w:tc>
      </w:tr>
      <w:tr>
        <w:trPr/>
        <w:tc>
          <w:tcPr>
            <w:tcW w:w="540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из них совершены:</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2126"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r>
        <w:trPr/>
        <w:tc>
          <w:tcPr>
            <w:tcW w:w="540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несовершеннолетними и при их участии</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2 878</w:t>
            </w:r>
          </w:p>
        </w:tc>
        <w:tc>
          <w:tcPr>
            <w:tcW w:w="2126"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8,4</w:t>
            </w:r>
          </w:p>
        </w:tc>
      </w:tr>
      <w:tr>
        <w:trPr/>
        <w:tc>
          <w:tcPr>
            <w:tcW w:w="540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лицами, имеющими судимость</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26 824</w:t>
            </w:r>
          </w:p>
        </w:tc>
        <w:tc>
          <w:tcPr>
            <w:tcW w:w="2126"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-2,2</w:t>
            </w:r>
          </w:p>
        </w:tc>
      </w:tr>
      <w:tr>
        <w:trPr/>
        <w:tc>
          <w:tcPr>
            <w:tcW w:w="540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не работавшими, не учившимися</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42 558</w:t>
            </w:r>
          </w:p>
        </w:tc>
        <w:tc>
          <w:tcPr>
            <w:tcW w:w="2126"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9,3</w:t>
            </w:r>
          </w:p>
        </w:tc>
      </w:tr>
      <w:tr>
        <w:trPr/>
        <w:tc>
          <w:tcPr>
            <w:tcW w:w="540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группой лиц</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6 423</w:t>
            </w:r>
          </w:p>
        </w:tc>
        <w:tc>
          <w:tcPr>
            <w:tcW w:w="2126"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20,4</w:t>
            </w:r>
          </w:p>
        </w:tc>
      </w:tr>
      <w:tr>
        <w:trPr/>
        <w:tc>
          <w:tcPr>
            <w:tcW w:w="540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 состоянии алкогольного опьянения</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17 610</w:t>
            </w:r>
          </w:p>
        </w:tc>
        <w:tc>
          <w:tcPr>
            <w:tcW w:w="2126"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-4,0</w:t>
            </w:r>
          </w:p>
        </w:tc>
      </w:tr>
      <w:tr>
        <w:trPr/>
        <w:tc>
          <w:tcPr>
            <w:tcW w:w="5402"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в состоянии наркотического опьянения</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2 275</w:t>
            </w:r>
          </w:p>
        </w:tc>
        <w:tc>
          <w:tcPr>
            <w:tcW w:w="2126"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6,4</w:t>
            </w:r>
          </w:p>
        </w:tc>
      </w:tr>
    </w:tbl>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 </w:t>
      </w:r>
    </w:p>
    <w:p>
      <w:pPr>
        <w:pStyle w:val="Normal"/>
        <w:spacing w:lineRule="auto" w:line="240"/>
        <w:ind w:firstLine="709"/>
        <w:jc w:val="both"/>
        <w:rPr>
          <w:rFonts w:ascii="Times New Roman" w:hAnsi="Times New Roman" w:cs="Times New Roman"/>
          <w:sz w:val="28"/>
          <w:szCs w:val="28"/>
        </w:rPr>
      </w:pPr>
      <w:r>
        <w:rPr>
          <w:rFonts w:cs="Times New Roman" w:ascii="Times New Roman" w:hAnsi="Times New Roman"/>
          <w:sz w:val="28"/>
          <w:szCs w:val="28"/>
        </w:rPr>
        <w:t>По уголовным делам, расследование по которым окончено, в 2015 году выявлено 53,1 тыс. лиц, совершивших преступления.</w:t>
      </w:r>
    </w:p>
    <w:p>
      <w:pPr>
        <w:pStyle w:val="Normal"/>
        <w:spacing w:lineRule="auto" w:line="240"/>
        <w:jc w:val="center"/>
        <w:rPr>
          <w:rFonts w:ascii="Times New Roman" w:hAnsi="Times New Roman" w:cs="Times New Roman"/>
          <w:sz w:val="28"/>
          <w:szCs w:val="28"/>
        </w:rPr>
      </w:pPr>
      <w:r>
        <w:rPr>
          <w:rFonts w:cs="Times New Roman" w:ascii="Times New Roman" w:hAnsi="Times New Roman"/>
          <w:sz w:val="28"/>
          <w:szCs w:val="28"/>
        </w:rPr>
        <w:t>Лица, совершившие преступления</w:t>
      </w:r>
    </w:p>
    <w:tbl>
      <w:tblPr>
        <w:tblW w:w="9371" w:type="dxa"/>
        <w:jc w:val="left"/>
        <w:tblInd w:w="0"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0" w:type="dxa"/>
          <w:left w:w="0" w:type="dxa"/>
          <w:bottom w:w="0" w:type="dxa"/>
          <w:right w:w="0" w:type="dxa"/>
        </w:tblCellMar>
        <w:tblLook w:val="04a0"/>
      </w:tblPr>
      <w:tblGrid>
        <w:gridCol w:w="5118"/>
        <w:gridCol w:w="1843"/>
        <w:gridCol w:w="2410"/>
      </w:tblGrid>
      <w:tr>
        <w:trPr/>
        <w:tc>
          <w:tcPr>
            <w:tcW w:w="5118" w:type="dxa"/>
            <w:vMerge w:val="restart"/>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4253" w:type="dxa"/>
            <w:gridSpan w:val="2"/>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2015 г.</w:t>
            </w:r>
          </w:p>
        </w:tc>
      </w:tr>
      <w:tr>
        <w:trPr/>
        <w:tc>
          <w:tcPr>
            <w:tcW w:w="5118" w:type="dxa"/>
            <w:vMerge w:val="continue"/>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человек</w:t>
            </w:r>
          </w:p>
        </w:tc>
        <w:tc>
          <w:tcPr>
            <w:tcW w:w="2410"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темпы прироста (снижения)</w:t>
            </w:r>
          </w:p>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к 2014 г.,</w:t>
            </w:r>
          </w:p>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в %</w:t>
            </w:r>
          </w:p>
        </w:tc>
      </w:tr>
      <w:tr>
        <w:trPr/>
        <w:tc>
          <w:tcPr>
            <w:tcW w:w="5118"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Выявлено лиц, совершивших преступления</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53 082</w:t>
            </w:r>
          </w:p>
        </w:tc>
        <w:tc>
          <w:tcPr>
            <w:tcW w:w="2410"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6,3</w:t>
            </w:r>
          </w:p>
        </w:tc>
      </w:tr>
      <w:tr>
        <w:trPr/>
        <w:tc>
          <w:tcPr>
            <w:tcW w:w="5118"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из них:</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2410"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r>
          </w:p>
        </w:tc>
      </w:tr>
      <w:tr>
        <w:trPr/>
        <w:tc>
          <w:tcPr>
            <w:tcW w:w="5118"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несовершеннолетние</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2 377</w:t>
            </w:r>
          </w:p>
        </w:tc>
        <w:tc>
          <w:tcPr>
            <w:tcW w:w="2410"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6,1</w:t>
            </w:r>
          </w:p>
        </w:tc>
      </w:tr>
      <w:tr>
        <w:trPr/>
        <w:tc>
          <w:tcPr>
            <w:tcW w:w="5118"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женщины</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7 920</w:t>
            </w:r>
          </w:p>
        </w:tc>
        <w:tc>
          <w:tcPr>
            <w:tcW w:w="2410"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5,8</w:t>
            </w:r>
          </w:p>
        </w:tc>
      </w:tr>
      <w:tr>
        <w:trPr/>
        <w:tc>
          <w:tcPr>
            <w:tcW w:w="5118"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не работавшие, не учившиеся</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32 992</w:t>
            </w:r>
          </w:p>
        </w:tc>
        <w:tc>
          <w:tcPr>
            <w:tcW w:w="2410"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9,8</w:t>
            </w:r>
          </w:p>
        </w:tc>
      </w:tr>
      <w:tr>
        <w:trPr/>
        <w:tc>
          <w:tcPr>
            <w:tcW w:w="5118"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лица, имеющие судимость</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19 405</w:t>
            </w:r>
          </w:p>
        </w:tc>
        <w:tc>
          <w:tcPr>
            <w:tcW w:w="2410"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-1,6</w:t>
            </w:r>
          </w:p>
        </w:tc>
      </w:tr>
      <w:tr>
        <w:trPr/>
        <w:tc>
          <w:tcPr>
            <w:tcW w:w="5118"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лица, находившиеся в состоянии алкогольного опьянения</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14 190</w:t>
            </w:r>
          </w:p>
        </w:tc>
        <w:tc>
          <w:tcPr>
            <w:tcW w:w="2410"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-6,3</w:t>
            </w:r>
          </w:p>
        </w:tc>
      </w:tr>
      <w:tr>
        <w:trPr/>
        <w:tc>
          <w:tcPr>
            <w:tcW w:w="5118"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лица, находившиеся в состоянии наркотического опьянения</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1 589</w:t>
            </w:r>
          </w:p>
        </w:tc>
        <w:tc>
          <w:tcPr>
            <w:tcW w:w="2410"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-1,7</w:t>
            </w:r>
          </w:p>
        </w:tc>
      </w:tr>
      <w:tr>
        <w:trPr/>
        <w:tc>
          <w:tcPr>
            <w:tcW w:w="5118"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bottom"/>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в группе</w:t>
            </w:r>
          </w:p>
        </w:tc>
        <w:tc>
          <w:tcPr>
            <w:tcW w:w="1843"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6 753</w:t>
            </w:r>
          </w:p>
        </w:tc>
        <w:tc>
          <w:tcPr>
            <w:tcW w:w="2410" w:type="dxa"/>
            <w:tcBorders>
              <w:top w:val="outset" w:sz="6" w:space="0" w:color="00000A"/>
              <w:left w:val="outset" w:sz="6" w:space="0" w:color="00000A"/>
              <w:bottom w:val="outset" w:sz="6" w:space="0" w:color="00000A"/>
              <w:right w:val="outset" w:sz="6" w:space="0" w:color="00000A"/>
              <w:insideH w:val="outset" w:sz="6" w:space="0" w:color="00000A"/>
              <w:insideV w:val="outset" w:sz="6" w:space="0" w:color="00000A"/>
            </w:tcBorders>
            <w:shd w:fill="auto" w:val="clear"/>
            <w:tcMar>
              <w:left w:w="0" w:type="dxa"/>
            </w:tcMar>
            <w:vAlign w:val="center"/>
          </w:tcPr>
          <w:p>
            <w:pPr>
              <w:pStyle w:val="Normal"/>
              <w:spacing w:lineRule="auto" w:line="240"/>
              <w:jc w:val="center"/>
              <w:rPr>
                <w:rFonts w:ascii="Times New Roman" w:hAnsi="Times New Roman" w:cs="Times New Roman"/>
                <w:sz w:val="24"/>
                <w:szCs w:val="24"/>
              </w:rPr>
            </w:pPr>
            <w:r>
              <w:rPr>
                <w:rFonts w:cs="Times New Roman" w:ascii="Times New Roman" w:hAnsi="Times New Roman"/>
                <w:sz w:val="24"/>
                <w:szCs w:val="24"/>
              </w:rPr>
              <w:t>10,9</w:t>
            </w:r>
          </w:p>
        </w:tc>
      </w:tr>
    </w:tbl>
    <w:p>
      <w:pPr>
        <w:pStyle w:val="Normal"/>
        <w:spacing w:lineRule="auto" w:line="240"/>
        <w:jc w:val="both"/>
        <w:rPr>
          <w:rFonts w:ascii="Times New Roman" w:hAnsi="Times New Roman" w:cs="Times New Roman"/>
          <w:sz w:val="28"/>
          <w:szCs w:val="28"/>
        </w:rPr>
      </w:pPr>
      <w:r>
        <w:rPr>
          <w:rFonts w:cs="Times New Roman" w:ascii="Times New Roman" w:hAnsi="Times New Roman"/>
          <w:sz w:val="28"/>
          <w:szCs w:val="28"/>
        </w:rPr>
        <w:t> </w:t>
      </w:r>
    </w:p>
    <w:p>
      <w:pPr>
        <w:pStyle w:val="Normal"/>
        <w:spacing w:lineRule="auto" w:line="240"/>
        <w:ind w:firstLine="709"/>
        <w:jc w:val="both"/>
        <w:rPr>
          <w:rFonts w:ascii="Times New Roman" w:hAnsi="Times New Roman" w:cs="Times New Roman"/>
          <w:sz w:val="28"/>
          <w:szCs w:val="28"/>
        </w:rPr>
      </w:pPr>
      <w:r>
        <w:rPr>
          <w:rFonts w:cs="Times New Roman" w:ascii="Times New Roman" w:hAnsi="Times New Roman"/>
          <w:sz w:val="28"/>
          <w:szCs w:val="28"/>
        </w:rPr>
        <w:t>К уголовной ответственности привлечено более 45 тыс. человек, или 84,9% от общего числа выявленных лиц, совершивших преступления (в 2014 году – 41,6 тыс. человек, или 83,2%).</w:t>
      </w:r>
    </w:p>
    <w:p>
      <w:pPr>
        <w:pStyle w:val="Normal"/>
        <w:spacing w:lineRule="auto" w:line="240"/>
        <w:ind w:firstLine="709"/>
        <w:jc w:val="both"/>
        <w:rPr>
          <w:rFonts w:ascii="Times New Roman" w:hAnsi="Times New Roman" w:cs="Times New Roman"/>
          <w:sz w:val="28"/>
          <w:szCs w:val="28"/>
        </w:rPr>
      </w:pPr>
      <w:r>
        <w:rPr>
          <w:rFonts w:cs="Times New Roman" w:ascii="Times New Roman" w:hAnsi="Times New Roman"/>
          <w:sz w:val="28"/>
          <w:szCs w:val="28"/>
        </w:rPr>
        <w:t>На 1 января 2016 г. в местах лишения свободы содержалось 33,3 тыс. человек, что на 11,9% больше, чем на соответствующую дату 2015 года, в том числе в исправительных колониях для взрослых – 25,7 тыс. человек (на 12,2% больше), воспитательной колонии для несовершеннолетних – 231 человек (на 35,9% больше), СИЗО – 6,9 тыс. человек (на 11,8% больше), тюрьмах – 555 человек (на 5,8% меньше).</w:t>
      </w:r>
    </w:p>
    <w:p>
      <w:pPr>
        <w:pStyle w:val="Normal"/>
        <w:spacing w:lineRule="auto" w:line="240"/>
        <w:ind w:firstLine="709"/>
        <w:jc w:val="both"/>
        <w:rPr>
          <w:rFonts w:ascii="Times New Roman" w:hAnsi="Times New Roman" w:cs="Times New Roman"/>
          <w:sz w:val="28"/>
          <w:szCs w:val="28"/>
        </w:rPr>
      </w:pPr>
      <w:r>
        <w:rPr>
          <w:rFonts w:cs="Times New Roman" w:ascii="Times New Roman" w:hAnsi="Times New Roman"/>
          <w:sz w:val="28"/>
          <w:szCs w:val="28"/>
        </w:rPr>
        <w:t>В республике в 2015 году органами внутренних дел зарегистрировано 3 758,8 тыс. административных правонарушений, по которым вынесены постановления о наложении административного взыскания (94,7% к уровню 2014 года). За превышение скорости движения вынесено 1 309,7 тыс. административных взысканий (в 2014 году – 1 632 тыс.), за распитие алкогольных напитков в общественном месте – 349,8 тыс. (в 2014 году – 326,5 тыс.), за мелкое хулиганство – 108,7 тыс. (в 2014 году – 107,5 тыс.). Сумма наложенного штрафа за административные правонарушения в 2015 году составила 1 207,6 млрд. рублей против 1 022,3 млрд. рублей в 2014 году.</w:t>
      </w:r>
    </w:p>
    <w:p>
      <w:pPr>
        <w:pStyle w:val="Normal"/>
        <w:spacing w:lineRule="auto" w:line="24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jc w:val="center"/>
        <w:rPr>
          <w:rFonts w:ascii="Times New Roman" w:hAnsi="Times New Roman" w:cs="Times New Roman"/>
          <w:b/>
          <w:b/>
          <w:sz w:val="28"/>
          <w:szCs w:val="28"/>
        </w:rPr>
      </w:pPr>
      <w:r>
        <w:rPr>
          <w:rFonts w:cs="Times New Roman" w:ascii="Times New Roman" w:hAnsi="Times New Roman"/>
          <w:b/>
          <w:sz w:val="28"/>
          <w:szCs w:val="28"/>
        </w:rPr>
        <w:t>СЛОВАРЬ</w:t>
      </w:r>
    </w:p>
    <w:p>
      <w:pPr>
        <w:pStyle w:val="ListParagraph"/>
        <w:spacing w:lineRule="auto" w:line="240"/>
        <w:ind w:left="2160" w:hanging="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Фашизм</w:t>
      </w:r>
      <w:r>
        <w:rPr>
          <w:rFonts w:cs="Times New Roman" w:ascii="Times New Roman" w:hAnsi="Times New Roman"/>
          <w:color w:val="000000" w:themeColor="text1"/>
          <w:sz w:val="28"/>
          <w:szCs w:val="28"/>
        </w:rPr>
      </w:r>
      <m:oMath xmlns:m="http://schemas.openxmlformats.org/officeDocument/2006/math">
        <m:r>
          <w:rPr>
            <w:rFonts w:ascii="Cambria Math" w:hAnsi="Cambria Math"/>
          </w:rPr>
          <m:t xml:space="preserve">−</m:t>
        </m:r>
      </m:oMath>
      <w:r>
        <w:rPr>
          <w:rFonts w:cs="Times New Roman" w:ascii="Times New Roman" w:hAnsi="Times New Roman"/>
          <w:color w:val="000000" w:themeColor="text1"/>
          <w:sz w:val="28"/>
          <w:szCs w:val="28"/>
        </w:rPr>
        <w:t xml:space="preserve"> форма открытой диктатуры с опорой на расизм и шовинизм, направленная на искоренение демократии, на установление режима жестокой реакции и на подготовку агрессивных войн.</w:t>
      </w:r>
    </w:p>
    <w:p>
      <w:pPr>
        <w:pStyle w:val="Normal"/>
        <w:spacing w:lineRule="auto" w:line="240" w:before="0" w:after="0"/>
        <w:ind w:firstLine="709"/>
        <w:jc w:val="both"/>
        <w:rPr/>
      </w:pPr>
      <w:r>
        <w:rPr>
          <w:rFonts w:cs="Times New Roman" w:ascii="Times New Roman" w:hAnsi="Times New Roman"/>
          <w:color w:val="000000" w:themeColor="text1"/>
          <w:sz w:val="28"/>
          <w:szCs w:val="28"/>
        </w:rPr>
        <w:t>Сталинизм</w:t>
      </w:r>
      <w:r>
        <w:rPr>
          <w:rFonts w:cs="Times New Roman" w:ascii="Times New Roman" w:hAnsi="Times New Roman"/>
          <w:color w:val="000000" w:themeColor="text1"/>
          <w:sz w:val="28"/>
          <w:szCs w:val="28"/>
        </w:rPr>
      </w:r>
      <m:oMath xmlns:m="http://schemas.openxmlformats.org/officeDocument/2006/math">
        <m:r>
          <w:rPr>
            <w:rFonts w:ascii="Cambria Math" w:hAnsi="Cambria Math"/>
          </w:rPr>
          <m:t xml:space="preserve">−</m:t>
        </m:r>
      </m:oMath>
      <w:r>
        <w:rPr>
          <w:rFonts w:cs="Times New Roman" w:ascii="Times New Roman" w:hAnsi="Times New Roman"/>
          <w:color w:val="000000" w:themeColor="text1"/>
          <w:sz w:val="28"/>
          <w:szCs w:val="28"/>
        </w:rPr>
        <w:t xml:space="preserve"> </w:t>
      </w:r>
      <w:hyperlink r:id="rId17">
        <w:r>
          <w:rPr>
            <w:rStyle w:val="Style11"/>
            <w:rFonts w:ascii="Times New Roman" w:hAnsi="Times New Roman"/>
            <w:color w:val="000000" w:themeColor="text1"/>
            <w:sz w:val="28"/>
            <w:szCs w:val="28"/>
            <w:highlight w:val="white"/>
            <w:u w:val="none"/>
          </w:rPr>
          <w:t>политическая система</w:t>
        </w:r>
      </w:hyperlink>
      <w:r>
        <w:rPr>
          <w:rStyle w:val="Appleconvertedspace"/>
          <w:rFonts w:cs="Times New Roman" w:ascii="Times New Roman" w:hAnsi="Times New Roman"/>
          <w:color w:val="000000" w:themeColor="text1"/>
          <w:sz w:val="28"/>
          <w:szCs w:val="28"/>
          <w:shd w:fill="FFFFFF" w:val="clear"/>
        </w:rPr>
        <w:t> </w:t>
      </w:r>
      <w:r>
        <w:rPr>
          <w:rFonts w:cs="Times New Roman" w:ascii="Times New Roman" w:hAnsi="Times New Roman"/>
          <w:color w:val="000000" w:themeColor="text1"/>
          <w:sz w:val="28"/>
          <w:szCs w:val="28"/>
          <w:shd w:fill="FFFFFF" w:val="clear"/>
        </w:rPr>
        <w:t>в</w:t>
      </w:r>
      <w:r>
        <w:rPr>
          <w:rStyle w:val="Appleconvertedspace"/>
          <w:rFonts w:cs="Times New Roman" w:ascii="Times New Roman" w:hAnsi="Times New Roman"/>
          <w:color w:val="000000" w:themeColor="text1"/>
          <w:sz w:val="28"/>
          <w:szCs w:val="28"/>
          <w:shd w:fill="FFFFFF" w:val="clear"/>
        </w:rPr>
        <w:t> </w:t>
      </w:r>
      <w:hyperlink r:id="rId18">
        <w:r>
          <w:rPr>
            <w:rStyle w:val="Style11"/>
            <w:rFonts w:ascii="Times New Roman" w:hAnsi="Times New Roman"/>
            <w:color w:val="000000" w:themeColor="text1"/>
            <w:sz w:val="28"/>
            <w:szCs w:val="28"/>
            <w:highlight w:val="white"/>
            <w:u w:val="none"/>
          </w:rPr>
          <w:t>СССР</w:t>
        </w:r>
      </w:hyperlink>
      <w:r>
        <w:rPr>
          <w:rStyle w:val="Appleconvertedspace"/>
          <w:rFonts w:cs="Times New Roman" w:ascii="Times New Roman" w:hAnsi="Times New Roman"/>
          <w:color w:val="000000" w:themeColor="text1"/>
          <w:sz w:val="28"/>
          <w:szCs w:val="28"/>
          <w:shd w:fill="FFFFFF" w:val="clear"/>
        </w:rPr>
        <w:t> </w:t>
      </w:r>
      <w:r>
        <w:rPr>
          <w:rFonts w:cs="Times New Roman" w:ascii="Times New Roman" w:hAnsi="Times New Roman"/>
          <w:color w:val="000000" w:themeColor="text1"/>
          <w:sz w:val="28"/>
          <w:szCs w:val="28"/>
          <w:shd w:fill="FFFFFF" w:val="clear"/>
        </w:rPr>
        <w:t>в конце 1920-х </w:t>
      </w:r>
      <w:r>
        <w:rPr>
          <w:rFonts w:cs="Times New Roman" w:ascii="Times New Roman" w:hAnsi="Times New Roman"/>
          <w:color w:val="000000" w:themeColor="text1"/>
          <w:sz w:val="28"/>
          <w:szCs w:val="28"/>
          <w:shd w:fill="FFFFFF" w:val="clear"/>
        </w:rPr>
      </w:r>
      <m:oMath xmlns:m="http://schemas.openxmlformats.org/officeDocument/2006/math">
        <m:r>
          <w:rPr>
            <w:rFonts w:ascii="Cambria Math" w:hAnsi="Cambria Math"/>
          </w:rPr>
          <m:t xml:space="preserve">−</m:t>
        </m:r>
      </m:oMath>
      <w:r>
        <w:rPr>
          <w:rFonts w:cs="Times New Roman" w:ascii="Times New Roman" w:hAnsi="Times New Roman"/>
          <w:color w:val="000000" w:themeColor="text1"/>
          <w:sz w:val="28"/>
          <w:szCs w:val="28"/>
          <w:shd w:fill="FFFFFF" w:val="clear"/>
        </w:rPr>
        <w:t xml:space="preserve"> начале 1950-х годов и лежавшая в её основе идеология. Сталинизм характеризовался господством авторитаризма, усилением карательных функций государства, сращиванием государственных органов и правящей Коммунистической партии, жёстким идеологическим контролем над всеми сторонами жизни общества.</w:t>
      </w:r>
    </w:p>
    <w:p>
      <w:pPr>
        <w:pStyle w:val="Normal"/>
        <w:spacing w:lineRule="auto" w:line="240" w:before="0" w:after="0"/>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Делинквентное поведение </w:t>
      </w:r>
      <w:r>
        <w:rPr>
          <w:rFonts w:cs="Times New Roman" w:ascii="Times New Roman" w:hAnsi="Times New Roman"/>
          <w:color w:val="000000" w:themeColor="text1"/>
          <w:sz w:val="28"/>
          <w:szCs w:val="28"/>
        </w:rPr>
      </w:r>
      <m:oMath xmlns:m="http://schemas.openxmlformats.org/officeDocument/2006/math">
        <m:r>
          <w:rPr>
            <w:rFonts w:ascii="Cambria Math" w:hAnsi="Cambria Math"/>
          </w:rPr>
          <m:t xml:space="preserve">−</m:t>
        </m:r>
      </m:oMath>
      <w:r>
        <w:rPr>
          <w:rFonts w:cs="Times New Roman" w:ascii="Times New Roman" w:hAnsi="Times New Roman"/>
          <w:color w:val="000000" w:themeColor="text1"/>
          <w:sz w:val="28"/>
          <w:szCs w:val="28"/>
        </w:rPr>
        <w:t> антиобщественное противоправное поведение индивида, воплощённое в его проступках (действиях или бездействии), наносящих вред, как отдельным гражданам, так и обществу в целом.</w:t>
      </w:r>
    </w:p>
    <w:p>
      <w:pPr>
        <w:pStyle w:val="Normal"/>
        <w:spacing w:lineRule="auto" w:line="240" w:before="0" w:after="0"/>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shd w:fill="FFFFFF" w:val="clear"/>
        </w:rPr>
        <w:t xml:space="preserve">Преступление </w:t>
      </w:r>
      <w:r>
        <w:rPr>
          <w:rFonts w:cs="Times New Roman" w:ascii="Times New Roman" w:hAnsi="Times New Roman"/>
          <w:color w:val="000000" w:themeColor="text1"/>
          <w:sz w:val="28"/>
          <w:szCs w:val="28"/>
          <w:shd w:fill="FFFFFF" w:val="clear"/>
        </w:rPr>
      </w:r>
      <m:oMath xmlns:m="http://schemas.openxmlformats.org/officeDocument/2006/math">
        <m:r>
          <w:rPr>
            <w:rFonts w:ascii="Cambria Math" w:hAnsi="Cambria Math"/>
          </w:rPr>
          <m:t xml:space="preserve">−</m:t>
        </m:r>
      </m:oMath>
      <w:r>
        <w:rPr>
          <w:rFonts w:cs="Times New Roman" w:ascii="Times New Roman" w:hAnsi="Times New Roman"/>
          <w:color w:val="000000" w:themeColor="text1"/>
          <w:sz w:val="28"/>
          <w:szCs w:val="28"/>
          <w:shd w:fill="FFFFFF" w:val="clear"/>
        </w:rPr>
        <w:t xml:space="preserve"> действие, нарушающее закон и подлежащее уголовной ответственности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jc w:val="both"/>
        <w:rPr/>
      </w:pPr>
      <w:r>
        <w:rPr/>
      </w:r>
    </w:p>
    <w:sectPr>
      <w:footerReference w:type="default" r:id="rId19"/>
      <w:footerReference w:type="first" r:id="rId20"/>
      <w:type w:val="nextPage"/>
      <w:pgSz w:w="11906" w:h="16838"/>
      <w:pgMar w:left="1134" w:right="1134" w:header="0" w:top="1134" w:footer="709" w:bottom="1134" w:gutter="0"/>
      <w:pgNumType w:fmt="decimal"/>
      <w:formProt w:val="false"/>
      <w:titlePg/>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mbria">
    <w:charset w:val="cc"/>
    <w:family w:val="roman"/>
    <w:pitch w:val="variable"/>
  </w:font>
  <w:font w:name="Times New Roman">
    <w:charset w:val="cc"/>
    <w:family w:val="roman"/>
    <w:pitch w:val="variable"/>
  </w:font>
  <w:font w:name="Courier New">
    <w:charset w:val="cc"/>
    <w:family w:val="roman"/>
    <w:pitch w:val="variable"/>
  </w:font>
  <w:font w:name="Tahoma">
    <w:charset w:val="cc"/>
    <w:family w:val="roman"/>
    <w:pitch w:val="variable"/>
  </w:font>
  <w:font w:name="Liberation Sans">
    <w:altName w:val="Arial"/>
    <w:charset w:val="cc"/>
    <w:family w:val="swiss"/>
    <w:pitch w:val="variable"/>
  </w:font>
  <w:font w:name="Arial">
    <w:charset w:val="cc"/>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289929415"/>
    </w:sdtPr>
    <w:sdtContent>
      <w:p>
        <w:pPr>
          <w:pStyle w:val="Style21"/>
          <w:jc w:val="right"/>
          <w:rPr/>
        </w:pPr>
        <w:r>
          <w:rPr/>
          <w:fldChar w:fldCharType="begin"/>
        </w:r>
        <w:r>
          <w:instrText> PAGE </w:instrText>
        </w:r>
        <w:r>
          <w:fldChar w:fldCharType="separate"/>
        </w:r>
        <w:r>
          <w:t>22</w:t>
        </w:r>
        <w:r>
          <w:fldChar w:fldCharType="end"/>
        </w:r>
      </w:p>
    </w:sdtContent>
  </w:sdt>
  <w:p>
    <w:pPr>
      <w:pStyle w:val="Style21"/>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62996307"/>
    </w:sdtPr>
    <w:sdtContent>
      <w:p>
        <w:pPr>
          <w:pStyle w:val="Style21"/>
          <w:jc w:val="right"/>
          <w:rPr/>
        </w:pPr>
        <w:r>
          <w:rPr/>
          <w:fldChar w:fldCharType="begin"/>
        </w:r>
        <w:r>
          <w:instrText> PAGE </w:instrText>
        </w:r>
        <w:r>
          <w:fldChar w:fldCharType="separate"/>
        </w:r>
        <w:r>
          <w:t>1</w:t>
        </w:r>
        <w:r>
          <w:fldChar w:fldCharType="end"/>
        </w:r>
      </w:p>
    </w:sdtContent>
  </w:sdt>
  <w:p>
    <w:pPr>
      <w:pStyle w:val="Style21"/>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Pr>
    </w:lvl>
  </w:abstractNum>
  <w:abstractNum w:abstractNumId="2">
    <w:lvl w:ilvl="0">
      <w:start w:val="1"/>
      <w:numFmt w:val="decimal"/>
      <w:lvlText w:val="%1."/>
      <w:lvlJc w:val="left"/>
      <w:pPr>
        <w:ind w:left="450" w:hanging="450"/>
      </w:pPr>
    </w:lvl>
    <w:lvl w:ilvl="1">
      <w:start w:val="3"/>
      <w:numFmt w:val="decimal"/>
      <w:lvlText w:val="%1.%2."/>
      <w:lvlJc w:val="left"/>
      <w:pPr>
        <w:ind w:left="3754" w:hanging="720"/>
      </w:pPr>
    </w:lvl>
    <w:lvl w:ilvl="2">
      <w:start w:val="1"/>
      <w:numFmt w:val="decimal"/>
      <w:lvlText w:val="%1.%2.%3."/>
      <w:lvlJc w:val="left"/>
      <w:pPr>
        <w:ind w:left="6788" w:hanging="720"/>
      </w:pPr>
    </w:lvl>
    <w:lvl w:ilvl="3">
      <w:start w:val="1"/>
      <w:numFmt w:val="decimal"/>
      <w:lvlText w:val="%1.%2.%3.%4."/>
      <w:lvlJc w:val="left"/>
      <w:pPr>
        <w:ind w:left="10182" w:hanging="1080"/>
      </w:pPr>
    </w:lvl>
    <w:lvl w:ilvl="4">
      <w:start w:val="1"/>
      <w:numFmt w:val="decimal"/>
      <w:lvlText w:val="%1.%2.%3.%4.%5."/>
      <w:lvlJc w:val="left"/>
      <w:pPr>
        <w:ind w:left="13216" w:hanging="1080"/>
      </w:pPr>
    </w:lvl>
    <w:lvl w:ilvl="5">
      <w:start w:val="1"/>
      <w:numFmt w:val="decimal"/>
      <w:lvlText w:val="%1.%2.%3.%4.%5.%6."/>
      <w:lvlJc w:val="left"/>
      <w:pPr>
        <w:ind w:left="16610" w:hanging="1440"/>
      </w:pPr>
    </w:lvl>
    <w:lvl w:ilvl="6">
      <w:start w:val="1"/>
      <w:numFmt w:val="decimal"/>
      <w:lvlText w:val="%1.%2.%3.%4.%5.%6.%7."/>
      <w:lvlJc w:val="left"/>
      <w:pPr>
        <w:ind w:left="20004" w:hanging="1800"/>
      </w:pPr>
    </w:lvl>
    <w:lvl w:ilvl="7">
      <w:start w:val="1"/>
      <w:numFmt w:val="decimal"/>
      <w:lvlText w:val="%1.%2.%3.%4.%5.%6.%7.%8."/>
      <w:lvlJc w:val="left"/>
      <w:pPr>
        <w:ind w:left="23038" w:hanging="1800"/>
      </w:pPr>
    </w:lvl>
    <w:lvl w:ilvl="8">
      <w:start w:val="1"/>
      <w:numFmt w:val="decimal"/>
      <w:lvlText w:val="%1.%2.%3.%4.%5.%6.%7.%8.%9."/>
      <w:lvlJc w:val="left"/>
      <w:pPr>
        <w:ind w:left="26432" w:hanging="2160"/>
      </w:pPr>
    </w:lvl>
  </w:abstractNum>
  <w:abstractNum w:abstractNumId="3">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89"/>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pacing w:lineRule="auto" w:line="276"/>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32d8d"/>
    <w:pPr>
      <w:widowControl/>
      <w:bidi w:val="0"/>
      <w:spacing w:lineRule="auto" w:line="276" w:before="0" w:after="200"/>
      <w:jc w:val="left"/>
    </w:pPr>
    <w:rPr>
      <w:rFonts w:eastAsia="" w:eastAsiaTheme="minorEastAsia" w:ascii="Calibri" w:hAnsi="Calibri" w:cs=""/>
      <w:color w:val="auto"/>
      <w:sz w:val="22"/>
      <w:szCs w:val="22"/>
      <w:lang w:eastAsia="ru-RU" w:val="ru-RU" w:bidi="ar-SA"/>
    </w:rPr>
  </w:style>
  <w:style w:type="paragraph" w:styleId="1">
    <w:name w:val="Заголовок 1"/>
    <w:basedOn w:val="Normal"/>
    <w:link w:val="10"/>
    <w:uiPriority w:val="9"/>
    <w:qFormat/>
    <w:rsid w:val="00653597"/>
    <w:pPr>
      <w:keepNext/>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2">
    <w:name w:val="Заголовок 2"/>
    <w:basedOn w:val="Normal"/>
    <w:link w:val="20"/>
    <w:uiPriority w:val="9"/>
    <w:semiHidden/>
    <w:unhideWhenUsed/>
    <w:qFormat/>
    <w:rsid w:val="001e3587"/>
    <w:pPr>
      <w:keepNext/>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3">
    <w:name w:val="Заголовок 3"/>
    <w:basedOn w:val="Normal"/>
    <w:link w:val="30"/>
    <w:uiPriority w:val="9"/>
    <w:qFormat/>
    <w:rsid w:val="001453ab"/>
    <w:pPr>
      <w:spacing w:lineRule="auto" w:line="240" w:beforeAutospacing="1" w:afterAutospacing="1"/>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Style11">
    <w:name w:val="Интернет-ссылка"/>
    <w:basedOn w:val="DefaultParagraphFont"/>
    <w:uiPriority w:val="99"/>
    <w:unhideWhenUsed/>
    <w:rsid w:val="00a32d8d"/>
    <w:rPr>
      <w:rFonts w:cs="Times New Roman"/>
      <w:color w:val="0000FF"/>
      <w:u w:val="single"/>
    </w:rPr>
  </w:style>
  <w:style w:type="character" w:styleId="Appleconvertedspace" w:customStyle="1">
    <w:name w:val="apple-converted-space"/>
    <w:basedOn w:val="DefaultParagraphFont"/>
    <w:qFormat/>
    <w:rsid w:val="00aa1564"/>
    <w:rPr/>
  </w:style>
  <w:style w:type="character" w:styleId="C3" w:customStyle="1">
    <w:name w:val="c3"/>
    <w:basedOn w:val="DefaultParagraphFont"/>
    <w:qFormat/>
    <w:rsid w:val="00aa1564"/>
    <w:rPr/>
  </w:style>
  <w:style w:type="character" w:styleId="C40" w:customStyle="1">
    <w:name w:val="c40"/>
    <w:basedOn w:val="DefaultParagraphFont"/>
    <w:qFormat/>
    <w:rsid w:val="007f7bda"/>
    <w:rPr/>
  </w:style>
  <w:style w:type="character" w:styleId="31" w:customStyle="1">
    <w:name w:val="Заголовок 3 Знак"/>
    <w:basedOn w:val="DefaultParagraphFont"/>
    <w:link w:val="3"/>
    <w:uiPriority w:val="9"/>
    <w:qFormat/>
    <w:rsid w:val="001453ab"/>
    <w:rPr>
      <w:rFonts w:ascii="Times New Roman" w:hAnsi="Times New Roman" w:eastAsia="Times New Roman" w:cs="Times New Roman"/>
      <w:b/>
      <w:bCs/>
      <w:sz w:val="27"/>
      <w:szCs w:val="27"/>
      <w:lang w:eastAsia="ru-RU"/>
    </w:rPr>
  </w:style>
  <w:style w:type="character" w:styleId="Strong">
    <w:name w:val="Strong"/>
    <w:basedOn w:val="DefaultParagraphFont"/>
    <w:uiPriority w:val="22"/>
    <w:qFormat/>
    <w:rsid w:val="001453ab"/>
    <w:rPr>
      <w:b/>
      <w:bCs/>
    </w:rPr>
  </w:style>
  <w:style w:type="character" w:styleId="11" w:customStyle="1">
    <w:name w:val="Заголовок 1 Знак"/>
    <w:basedOn w:val="DefaultParagraphFont"/>
    <w:link w:val="1"/>
    <w:uiPriority w:val="9"/>
    <w:qFormat/>
    <w:rsid w:val="00653597"/>
    <w:rPr>
      <w:rFonts w:ascii="Cambria" w:hAnsi="Cambria" w:eastAsia="" w:cs="" w:asciiTheme="majorHAnsi" w:cstheme="majorBidi" w:eastAsiaTheme="majorEastAsia" w:hAnsiTheme="majorHAnsi"/>
      <w:b/>
      <w:bCs/>
      <w:color w:val="365F91" w:themeColor="accent1" w:themeShade="bf"/>
      <w:sz w:val="28"/>
      <w:szCs w:val="28"/>
      <w:lang w:eastAsia="ru-RU"/>
    </w:rPr>
  </w:style>
  <w:style w:type="character" w:styleId="HTML" w:customStyle="1">
    <w:name w:val="Стандартный HTML Знак"/>
    <w:basedOn w:val="DefaultParagraphFont"/>
    <w:link w:val="HTML"/>
    <w:uiPriority w:val="99"/>
    <w:qFormat/>
    <w:rsid w:val="00653597"/>
    <w:rPr>
      <w:rFonts w:ascii="Courier New" w:hAnsi="Courier New" w:eastAsia="Times New Roman" w:cs="Courier New"/>
      <w:sz w:val="20"/>
      <w:szCs w:val="20"/>
      <w:lang w:eastAsia="ru-RU"/>
    </w:rPr>
  </w:style>
  <w:style w:type="character" w:styleId="Style12" w:customStyle="1">
    <w:name w:val="Верхний колонтитул Знак"/>
    <w:basedOn w:val="DefaultParagraphFont"/>
    <w:link w:val="a8"/>
    <w:uiPriority w:val="99"/>
    <w:semiHidden/>
    <w:qFormat/>
    <w:rsid w:val="00d454ba"/>
    <w:rPr>
      <w:rFonts w:eastAsia="" w:eastAsiaTheme="minorEastAsia"/>
      <w:lang w:eastAsia="ru-RU"/>
    </w:rPr>
  </w:style>
  <w:style w:type="character" w:styleId="Style13" w:customStyle="1">
    <w:name w:val="Нижний колонтитул Знак"/>
    <w:basedOn w:val="DefaultParagraphFont"/>
    <w:link w:val="aa"/>
    <w:uiPriority w:val="99"/>
    <w:qFormat/>
    <w:rsid w:val="00d454ba"/>
    <w:rPr>
      <w:rFonts w:eastAsia="" w:eastAsiaTheme="minorEastAsia"/>
      <w:lang w:eastAsia="ru-RU"/>
    </w:rPr>
  </w:style>
  <w:style w:type="character" w:styleId="21" w:customStyle="1">
    <w:name w:val="Заголовок 2 Знак"/>
    <w:basedOn w:val="DefaultParagraphFont"/>
    <w:link w:val="2"/>
    <w:uiPriority w:val="9"/>
    <w:semiHidden/>
    <w:qFormat/>
    <w:rsid w:val="001e3587"/>
    <w:rPr>
      <w:rFonts w:ascii="Cambria" w:hAnsi="Cambria" w:eastAsia="" w:cs="" w:asciiTheme="majorHAnsi" w:cstheme="majorBidi" w:eastAsiaTheme="majorEastAsia" w:hAnsiTheme="majorHAnsi"/>
      <w:b/>
      <w:bCs/>
      <w:color w:val="4F81BD" w:themeColor="accent1"/>
      <w:sz w:val="26"/>
      <w:szCs w:val="26"/>
      <w:lang w:eastAsia="ru-RU"/>
    </w:rPr>
  </w:style>
  <w:style w:type="character" w:styleId="Style14" w:customStyle="1">
    <w:name w:val="Текст выноски Знак"/>
    <w:basedOn w:val="DefaultParagraphFont"/>
    <w:link w:val="ac"/>
    <w:uiPriority w:val="99"/>
    <w:semiHidden/>
    <w:qFormat/>
    <w:rsid w:val="006f523e"/>
    <w:rPr>
      <w:rFonts w:ascii="Tahoma" w:hAnsi="Tahoma" w:eastAsia="" w:cs="Tahoma" w:eastAsiaTheme="minorEastAsia"/>
      <w:sz w:val="16"/>
      <w:szCs w:val="16"/>
      <w:lang w:eastAsia="ru-RU"/>
    </w:rPr>
  </w:style>
  <w:style w:type="character" w:styleId="PlaceholderText">
    <w:name w:val="Placeholder Text"/>
    <w:basedOn w:val="DefaultParagraphFont"/>
    <w:uiPriority w:val="99"/>
    <w:semiHidden/>
    <w:qFormat/>
    <w:rsid w:val="00bf424d"/>
    <w:rPr>
      <w:color w:val="808080"/>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paragraph" w:styleId="Style15">
    <w:name w:val="Заголовок"/>
    <w:basedOn w:val="Normal"/>
    <w:next w:val="Style16"/>
    <w:qFormat/>
    <w:pPr>
      <w:keepNext/>
      <w:spacing w:before="240" w:after="120"/>
    </w:pPr>
    <w:rPr>
      <w:rFonts w:ascii="Liberation Sans" w:hAnsi="Liberation Sans" w:eastAsia="Microsoft YaHei" w:cs="Arial"/>
      <w:sz w:val="28"/>
      <w:szCs w:val="28"/>
    </w:rPr>
  </w:style>
  <w:style w:type="paragraph" w:styleId="Style16">
    <w:name w:val="Основной текст"/>
    <w:basedOn w:val="Normal"/>
    <w:pPr>
      <w:spacing w:lineRule="auto" w:line="288" w:before="0" w:after="140"/>
    </w:pPr>
    <w:rPr/>
  </w:style>
  <w:style w:type="paragraph" w:styleId="Style17">
    <w:name w:val="Список"/>
    <w:basedOn w:val="Style16"/>
    <w:pPr/>
    <w:rPr>
      <w:rFonts w:cs="Arial"/>
    </w:rPr>
  </w:style>
  <w:style w:type="paragraph" w:styleId="Style18">
    <w:name w:val="Название"/>
    <w:basedOn w:val="Normal"/>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ListParagraph">
    <w:name w:val="List Paragraph"/>
    <w:basedOn w:val="Normal"/>
    <w:uiPriority w:val="34"/>
    <w:qFormat/>
    <w:rsid w:val="008b6cae"/>
    <w:pPr>
      <w:spacing w:before="0" w:after="200"/>
      <w:ind w:left="720" w:hanging="0"/>
      <w:contextualSpacing/>
    </w:pPr>
    <w:rPr/>
  </w:style>
  <w:style w:type="paragraph" w:styleId="C2" w:customStyle="1">
    <w:name w:val="c2"/>
    <w:basedOn w:val="Normal"/>
    <w:qFormat/>
    <w:rsid w:val="00aa1564"/>
    <w:pPr>
      <w:spacing w:lineRule="auto" w:line="240" w:beforeAutospacing="1" w:afterAutospacing="1"/>
    </w:pPr>
    <w:rPr>
      <w:rFonts w:ascii="Times New Roman" w:hAnsi="Times New Roman" w:eastAsia="Times New Roman" w:cs="Times New Roman"/>
      <w:sz w:val="24"/>
      <w:szCs w:val="24"/>
    </w:rPr>
  </w:style>
  <w:style w:type="paragraph" w:styleId="NormalWeb">
    <w:name w:val="Normal (Web)"/>
    <w:basedOn w:val="Normal"/>
    <w:unhideWhenUsed/>
    <w:qFormat/>
    <w:rsid w:val="007f7bda"/>
    <w:pPr>
      <w:spacing w:lineRule="auto" w:line="240" w:beforeAutospacing="1" w:afterAutospacing="1"/>
    </w:pPr>
    <w:rPr>
      <w:rFonts w:ascii="Times New Roman" w:hAnsi="Times New Roman" w:eastAsia="Times New Roman" w:cs="Times New Roman"/>
      <w:sz w:val="24"/>
      <w:szCs w:val="24"/>
    </w:rPr>
  </w:style>
  <w:style w:type="paragraph" w:styleId="HTMLPreformatted">
    <w:name w:val="HTML Preformatted"/>
    <w:basedOn w:val="Normal"/>
    <w:link w:val="HTML0"/>
    <w:uiPriority w:val="99"/>
    <w:unhideWhenUsed/>
    <w:qFormat/>
    <w:rsid w:val="00653597"/>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rPr>
  </w:style>
  <w:style w:type="paragraph" w:styleId="Style20">
    <w:name w:val="Верхний колонтитул"/>
    <w:basedOn w:val="Normal"/>
    <w:link w:val="a9"/>
    <w:uiPriority w:val="99"/>
    <w:semiHidden/>
    <w:unhideWhenUsed/>
    <w:rsid w:val="00d454ba"/>
    <w:pPr>
      <w:tabs>
        <w:tab w:val="center" w:pos="4677" w:leader="none"/>
        <w:tab w:val="right" w:pos="9355" w:leader="none"/>
      </w:tabs>
      <w:spacing w:lineRule="auto" w:line="240" w:before="0" w:after="0"/>
    </w:pPr>
    <w:rPr/>
  </w:style>
  <w:style w:type="paragraph" w:styleId="Style21">
    <w:name w:val="Нижний колонтитул"/>
    <w:basedOn w:val="Normal"/>
    <w:link w:val="ab"/>
    <w:uiPriority w:val="99"/>
    <w:unhideWhenUsed/>
    <w:rsid w:val="00d454ba"/>
    <w:pPr>
      <w:tabs>
        <w:tab w:val="center" w:pos="4677" w:leader="none"/>
        <w:tab w:val="right" w:pos="9355" w:leader="none"/>
      </w:tabs>
      <w:spacing w:lineRule="auto" w:line="240" w:before="0" w:after="0"/>
    </w:pPr>
    <w:rPr/>
  </w:style>
  <w:style w:type="paragraph" w:styleId="BalloonText">
    <w:name w:val="Balloon Text"/>
    <w:basedOn w:val="Normal"/>
    <w:link w:val="ad"/>
    <w:uiPriority w:val="99"/>
    <w:semiHidden/>
    <w:unhideWhenUsed/>
    <w:qFormat/>
    <w:rsid w:val="006f523e"/>
    <w:pPr>
      <w:spacing w:lineRule="auto" w:line="240" w:before="0" w:after="0"/>
    </w:pPr>
    <w:rPr>
      <w:rFonts w:ascii="Tahoma" w:hAnsi="Tahoma" w:cs="Tahoma"/>
      <w:sz w:val="16"/>
      <w:szCs w:val="16"/>
    </w:rPr>
  </w:style>
  <w:style w:type="paragraph" w:styleId="NoSpacing">
    <w:name w:val="No Spacing"/>
    <w:uiPriority w:val="1"/>
    <w:qFormat/>
    <w:rsid w:val="00184752"/>
    <w:pPr>
      <w:widowControl/>
      <w:bidi w:val="0"/>
      <w:spacing w:lineRule="auto" w:line="240" w:before="0" w:after="0"/>
      <w:jc w:val="left"/>
    </w:pPr>
    <w:rPr>
      <w:rFonts w:eastAsia="" w:eastAsiaTheme="minorEastAsia" w:ascii="Calibri" w:hAnsi="Calibri" w:cs=""/>
      <w:color w:val="auto"/>
      <w:sz w:val="22"/>
      <w:szCs w:val="22"/>
      <w:lang w:eastAsia="ru-RU" w:val="ru-RU" w:bidi="ar-SA"/>
    </w:rPr>
  </w:style>
  <w:style w:type="paragraph" w:styleId="Style22">
    <w:name w:val="Содержимое врезки"/>
    <w:basedOn w:val="Normal"/>
    <w:qFormat/>
    <w:pPr/>
    <w:rPr/>
  </w:style>
  <w:style w:type="numbering" w:styleId="NoList" w:default="1">
    <w:name w:val="No List"/>
    <w:uiPriority w:val="99"/>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7">
    <w:name w:val="Table Grid"/>
    <w:basedOn w:val="a1"/>
    <w:uiPriority w:val="59"/>
    <w:rsid w:val="00d454ba"/>
    <w:pPr>
      <w:spacing w:after="0" w:line="240" w:lineRule="auto"/>
    </w:pPr>
    <w:rPr>
      <w:lang w:val="el-GR"/>
      <w:sz w:val="20"/>
      <w:szCs w:val="20"/>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grandars.ru/college/sociologiya/deviantnoe-povedenie.html" TargetMode="External"/><Relationship Id="rId3" Type="http://schemas.openxmlformats.org/officeDocument/2006/relationships/hyperlink" Target="http://www.grandars.ru/college/medicina/alkogolizm.html" TargetMode="External"/><Relationship Id="rId4" Type="http://schemas.openxmlformats.org/officeDocument/2006/relationships/hyperlink" Target="https://ru.wikipedia.org/wiki/&#1051;&#1072;&#1090;&#1080;&#1085;&#1089;&#1082;&#1080;&#1081;_&#1103;&#1079;&#1099;&#1082;" TargetMode="External"/><Relationship Id="rId5" Type="http://schemas.openxmlformats.org/officeDocument/2006/relationships/chart" Target="charts/chart1.xml"/><Relationship Id="rId6" Type="http://schemas.openxmlformats.org/officeDocument/2006/relationships/chart" Target="charts/chart2.xml"/><Relationship Id="rId7" Type="http://schemas.openxmlformats.org/officeDocument/2006/relationships/chart" Target="charts/chart3.xml"/><Relationship Id="rId8" Type="http://schemas.openxmlformats.org/officeDocument/2006/relationships/chart" Target="charts/chart4.xml"/><Relationship Id="rId9" Type="http://schemas.openxmlformats.org/officeDocument/2006/relationships/chart" Target="charts/chart5.xml"/><Relationship Id="rId10" Type="http://schemas.openxmlformats.org/officeDocument/2006/relationships/chart" Target="charts/chart6.xml"/><Relationship Id="rId11" Type="http://schemas.openxmlformats.org/officeDocument/2006/relationships/chart" Target="charts/chart7.xml"/><Relationship Id="rId12" Type="http://schemas.openxmlformats.org/officeDocument/2006/relationships/chart" Target="charts/chart8.xml"/><Relationship Id="rId13" Type="http://schemas.openxmlformats.org/officeDocument/2006/relationships/chart" Target="charts/chart9.xml"/><Relationship Id="rId14" Type="http://schemas.openxmlformats.org/officeDocument/2006/relationships/chart" Target="charts/chart10.xml"/><Relationship Id="rId15" Type="http://schemas.openxmlformats.org/officeDocument/2006/relationships/chart" Target="charts/chart11.xml"/><Relationship Id="rId16" Type="http://schemas.openxmlformats.org/officeDocument/2006/relationships/chart" Target="charts/chart12.xml"/><Relationship Id="rId17" Type="http://schemas.openxmlformats.org/officeDocument/2006/relationships/hyperlink" Target="https://ru.wikipedia.org/wiki/&#1055;&#1086;&#1083;&#1080;&#1090;&#1080;&#1095;&#1077;&#1089;&#1082;&#1072;&#1103;_&#1089;&#1080;&#1089;&#1090;&#1077;&#1084;&#1072;" TargetMode="External"/><Relationship Id="rId18" Type="http://schemas.openxmlformats.org/officeDocument/2006/relationships/hyperlink" Target="https://ru.wikipedia.org/wiki/&#1057;&#1057;&#1057;&#1056;" TargetMode="External"/><Relationship Id="rId19" Type="http://schemas.openxmlformats.org/officeDocument/2006/relationships/footer" Target="footer1.xml"/><Relationship Id="rId20" Type="http://schemas.openxmlformats.org/officeDocument/2006/relationships/footer" Target="footer2.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Relationship Id="rId25" Type="http://schemas.openxmlformats.org/officeDocument/2006/relationships/customXml" Target="../customXml/item1.xml"/>
</Relationships>
</file>

<file path=word/charts/_rels/chart1.xml.rels><?xml version="1.0" encoding="UTF-8"?>
<Relationships xmlns="http://schemas.openxmlformats.org/package/2006/relationships"><Relationship Id="rId1" Type="http://schemas.openxmlformats.org/officeDocument/2006/relationships/package" Target="../embeddings/_____Microsoft_Office_Excel1.xlsx"/>
</Relationships>
</file>

<file path=word/charts/_rels/chart2.xml.rels><?xml version="1.0" encoding="UTF-8"?>
<Relationships xmlns="http://schemas.openxmlformats.org/package/2006/relationships"><Relationship Id="rId1" Type="http://schemas.openxmlformats.org/officeDocument/2006/relationships/package" Target="../embeddings/_____Microsoft_Office_Excel2.xlsx"/>
</Relationships>
</file>

<file path=word/charts/_rels/chart3.xml.rels><?xml version="1.0" encoding="UTF-8"?>
<Relationships xmlns="http://schemas.openxmlformats.org/package/2006/relationships"><Relationship Id="rId1" Type="http://schemas.openxmlformats.org/officeDocument/2006/relationships/package" Target="../embeddings/_____Microsoft_Office_Excel3.xlsx"/>
</Relationships>
</file>

<file path=word/charts/_rels/chart4.xml.rels><?xml version="1.0" encoding="UTF-8"?>
<Relationships xmlns="http://schemas.openxmlformats.org/package/2006/relationships"><Relationship Id="rId1" Type="http://schemas.openxmlformats.org/officeDocument/2006/relationships/package" Target="../embeddings/_____Microsoft_Office_Excel4.xlsx"/>
</Relationships>
</file>

<file path=word/charts/_rels/chart5.xml.rels><?xml version="1.0" encoding="UTF-8"?>
<Relationships xmlns="http://schemas.openxmlformats.org/package/2006/relationships"><Relationship Id="rId1" Type="http://schemas.openxmlformats.org/officeDocument/2006/relationships/package" Target="../embeddings/_____Microsoft_Office_Excel5.xlsx"/>
</Relationships>
</file>

<file path=word/charts/_rels/chart6.xml.rels><?xml version="1.0" encoding="UTF-8"?>
<Relationships xmlns="http://schemas.openxmlformats.org/package/2006/relationships"><Relationship Id="rId1" Type="http://schemas.openxmlformats.org/officeDocument/2006/relationships/package" Target="../embeddings/_____Microsoft_Office_Excel6.xlsx"/>
</Relationships>
</file>

<file path=word/charts/_rels/chart7.xml.rels><?xml version="1.0" encoding="UTF-8"?>
<Relationships xmlns="http://schemas.openxmlformats.org/package/2006/relationships"><Relationship Id="rId1" Type="http://schemas.openxmlformats.org/officeDocument/2006/relationships/package" Target="../embeddings/_____Microsoft_Office_Excel7.xlsx"/>
</Relationships>
</file>

<file path=word/charts/_rels/chart8.xml.rels><?xml version="1.0" encoding="UTF-8"?>
<Relationships xmlns="http://schemas.openxmlformats.org/package/2006/relationships"><Relationship Id="rId1" Type="http://schemas.openxmlformats.org/officeDocument/2006/relationships/package" Target="../embeddings/_____Microsoft_Office_Excel8.xlsx"/>
</Relationships>
</file>

<file path=word/charts/_rels/chart9.xml.rels><?xml version="1.0" encoding="UTF-8"?>
<Relationships xmlns="http://schemas.openxmlformats.org/package/2006/relationships"><Relationship Id="rId1" Type="http://schemas.openxmlformats.org/officeDocument/2006/relationships/package" Target="../embeddings/_____Microsoft_Office_Excel9.xlsx"/>
</Relationships>
</file>

<file path=word/charts/_rels/chart10.xml.rels><?xml version="1.0" encoding="UTF-8"?>
<Relationships xmlns="http://schemas.openxmlformats.org/package/2006/relationships"><Relationship Id="rId1" Type="http://schemas.openxmlformats.org/officeDocument/2006/relationships/package" Target="../embeddings/_____Microsoft_Office_Excel10.xlsx"/>
</Relationships>
</file>

<file path=word/charts/_rels/chart11.xml.rels><?xml version="1.0" encoding="UTF-8"?>
<Relationships xmlns="http://schemas.openxmlformats.org/package/2006/relationships"><Relationship Id="rId1" Type="http://schemas.openxmlformats.org/officeDocument/2006/relationships/package" Target="../embeddings/_____Microsoft_Office_Excel11.xlsx"/>
</Relationships>
</file>

<file path=word/charts/_rels/chart12.xml.rels><?xml version="1.0" encoding="UTF-8"?>
<Relationships xmlns="http://schemas.openxmlformats.org/package/2006/relationships"><Relationship Id="rId1" Type="http://schemas.openxmlformats.org/officeDocument/2006/relationships/package" Target="../embeddings/_____Microsoft_Office_Excel12.xlsx"/>
</Relationships>
</file>

<file path=word/charts/chart1.xml><?xml version="1.0" encoding="utf-8"?>
<c:chartSpace xmlns:c="http://schemas.openxmlformats.org/drawingml/2006/chart" xmlns:a="http://schemas.openxmlformats.org/drawingml/2006/main" xmlns:r="http://schemas.openxmlformats.org/officeDocument/2006/relationships">
  <c:lang val="en-US"/>
  <c:roundedCorners val="0"/>
  <c:chart>
    <c:view3D>
      <c:rotX val="15"/>
      <c:rotY val="20"/>
      <c:rAngAx val="1"/>
      <c:perspective val="30"/>
    </c:view3D>
    <c:floor>
      <c:spPr>
        <a:noFill/>
        <a:ln w="9360">
          <a:solidFill>
            <a:srgbClr val="878787"/>
          </a:solidFill>
          <a:round/>
        </a:ln>
      </c:spPr>
    </c:floor>
    <c:backWall>
      <c:spPr>
        <a:noFill/>
        <a:ln w="9360">
          <a:solidFill>
            <a:srgbClr val="878787"/>
          </a:solidFill>
          <a:round/>
        </a:ln>
      </c:spPr>
    </c:backWall>
    <c:plotArea>
      <c:bar3DChart>
        <c:barDir val="col"/>
        <c:grouping val="clustered"/>
        <c:varyColors val="0"/>
        <c:ser>
          <c:idx val="0"/>
          <c:order val="0"/>
          <c:tx>
            <c:strRef>
              <c:f>label 0</c:f>
              <c:strCache>
                <c:ptCount val="1"/>
                <c:pt idx="0">
                  <c:v>Гуляют с друзьями</c:v>
                </c:pt>
              </c:strCache>
            </c:strRef>
          </c:tx>
          <c:spPr>
            <a:solidFill>
              <a:srgbClr val="4f81bd"/>
            </a:solidFill>
            <a:ln>
              <a:noFill/>
            </a:ln>
          </c:spPr>
          <c:invertIfNegative val="0"/>
          <c:dLbls>
            <c:showLegendKey val="0"/>
            <c:showVal val="0"/>
            <c:showCatName val="0"/>
            <c:showSerName val="0"/>
            <c:showPercent val="0"/>
            <c:showLeaderLines val="0"/>
          </c:dLbls>
          <c:cat>
            <c:strRef>
              <c:f>categories</c:f>
              <c:strCache>
                <c:ptCount val="1"/>
                <c:pt idx="0">
                  <c:v>Вопрос 1</c:v>
                </c:pt>
              </c:strCache>
            </c:strRef>
          </c:cat>
          <c:val>
            <c:numRef>
              <c:f>0</c:f>
              <c:numCache>
                <c:formatCode>General</c:formatCode>
                <c:ptCount val="1"/>
                <c:pt idx="0">
                  <c:v>0.938</c:v>
                </c:pt>
              </c:numCache>
            </c:numRef>
          </c:val>
        </c:ser>
        <c:ser>
          <c:idx val="1"/>
          <c:order val="1"/>
          <c:tx>
            <c:strRef>
              <c:f>label 1</c:f>
              <c:strCache>
                <c:ptCount val="1"/>
                <c:pt idx="0">
                  <c:v>Смотрят телевизор</c:v>
                </c:pt>
              </c:strCache>
            </c:strRef>
          </c:tx>
          <c:spPr>
            <a:solidFill>
              <a:srgbClr val="c0504d"/>
            </a:solidFill>
            <a:ln>
              <a:noFill/>
            </a:ln>
          </c:spPr>
          <c:invertIfNegative val="0"/>
          <c:dLbls>
            <c:showLegendKey val="0"/>
            <c:showVal val="0"/>
            <c:showCatName val="0"/>
            <c:showSerName val="0"/>
            <c:showPercent val="0"/>
            <c:showLeaderLines val="0"/>
          </c:dLbls>
          <c:cat>
            <c:strRef>
              <c:f>categories</c:f>
              <c:strCache>
                <c:ptCount val="1"/>
                <c:pt idx="0">
                  <c:v>Вопрос 1</c:v>
                </c:pt>
              </c:strCache>
            </c:strRef>
          </c:cat>
          <c:val>
            <c:numRef>
              <c:f>1</c:f>
              <c:numCache>
                <c:formatCode>General</c:formatCode>
                <c:ptCount val="1"/>
                <c:pt idx="0">
                  <c:v>0.536</c:v>
                </c:pt>
              </c:numCache>
            </c:numRef>
          </c:val>
        </c:ser>
        <c:ser>
          <c:idx val="2"/>
          <c:order val="2"/>
          <c:tx>
            <c:strRef>
              <c:f>label 2</c:f>
              <c:strCache>
                <c:ptCount val="1"/>
                <c:pt idx="0">
                  <c:v>Ходят на дискотеки </c:v>
                </c:pt>
              </c:strCache>
            </c:strRef>
          </c:tx>
          <c:spPr>
            <a:solidFill>
              <a:srgbClr val="9bbb59"/>
            </a:solidFill>
            <a:ln>
              <a:noFill/>
            </a:ln>
          </c:spPr>
          <c:invertIfNegative val="0"/>
          <c:dLbls>
            <c:showLegendKey val="0"/>
            <c:showVal val="0"/>
            <c:showCatName val="0"/>
            <c:showSerName val="0"/>
            <c:showPercent val="0"/>
            <c:showLeaderLines val="0"/>
          </c:dLbls>
          <c:cat>
            <c:strRef>
              <c:f>categories</c:f>
              <c:strCache>
                <c:ptCount val="1"/>
                <c:pt idx="0">
                  <c:v>Вопрос 1</c:v>
                </c:pt>
              </c:strCache>
            </c:strRef>
          </c:cat>
          <c:val>
            <c:numRef>
              <c:f>2</c:f>
              <c:numCache>
                <c:formatCode>General</c:formatCode>
                <c:ptCount val="1"/>
                <c:pt idx="0">
                  <c:v>0.335</c:v>
                </c:pt>
              </c:numCache>
            </c:numRef>
          </c:val>
        </c:ser>
        <c:ser>
          <c:idx val="3"/>
          <c:order val="3"/>
          <c:tx>
            <c:strRef>
              <c:f>label 3</c:f>
              <c:strCache>
                <c:ptCount val="1"/>
                <c:pt idx="0">
                  <c:v>Посещают кружки</c:v>
                </c:pt>
              </c:strCache>
            </c:strRef>
          </c:tx>
          <c:spPr>
            <a:solidFill>
              <a:srgbClr val="8064a2"/>
            </a:solidFill>
            <a:ln>
              <a:noFill/>
            </a:ln>
          </c:spPr>
          <c:invertIfNegative val="0"/>
          <c:dLbls>
            <c:showLegendKey val="0"/>
            <c:showVal val="0"/>
            <c:showCatName val="0"/>
            <c:showSerName val="0"/>
            <c:showPercent val="0"/>
            <c:showLeaderLines val="0"/>
          </c:dLbls>
          <c:cat>
            <c:strRef>
              <c:f>categories</c:f>
              <c:strCache>
                <c:ptCount val="1"/>
                <c:pt idx="0">
                  <c:v>Вопрос 1</c:v>
                </c:pt>
              </c:strCache>
            </c:strRef>
          </c:cat>
          <c:val>
            <c:numRef>
              <c:f>3</c:f>
              <c:numCache>
                <c:formatCode>General</c:formatCode>
                <c:ptCount val="1"/>
                <c:pt idx="0">
                  <c:v>0.134</c:v>
                </c:pt>
              </c:numCache>
            </c:numRef>
          </c:val>
        </c:ser>
        <c:ser>
          <c:idx val="4"/>
          <c:order val="4"/>
          <c:tx>
            <c:strRef>
              <c:f>label 4</c:f>
              <c:strCache>
                <c:ptCount val="1"/>
                <c:pt idx="0">
                  <c:v>Читают</c:v>
                </c:pt>
              </c:strCache>
            </c:strRef>
          </c:tx>
          <c:spPr>
            <a:solidFill>
              <a:srgbClr val="4bacc6"/>
            </a:solidFill>
            <a:ln>
              <a:noFill/>
            </a:ln>
          </c:spPr>
          <c:invertIfNegative val="0"/>
          <c:dLbls>
            <c:showLegendKey val="0"/>
            <c:showVal val="0"/>
            <c:showCatName val="0"/>
            <c:showSerName val="0"/>
            <c:showPercent val="0"/>
            <c:showLeaderLines val="0"/>
          </c:dLbls>
          <c:cat>
            <c:strRef>
              <c:f>categories</c:f>
              <c:strCache>
                <c:ptCount val="1"/>
                <c:pt idx="0">
                  <c:v>Вопрос 1</c:v>
                </c:pt>
              </c:strCache>
            </c:strRef>
          </c:cat>
          <c:val>
            <c:numRef>
              <c:f>4</c:f>
              <c:numCache>
                <c:formatCode>General</c:formatCode>
                <c:ptCount val="1"/>
                <c:pt idx="0">
                  <c:v>0.017</c:v>
                </c:pt>
              </c:numCache>
            </c:numRef>
          </c:val>
        </c:ser>
        <c:gapWidth val="150"/>
        <c:shape val="box"/>
        <c:axId val="63701575"/>
        <c:axId val="94134059"/>
        <c:axId val="0"/>
      </c:bar3DChart>
      <c:catAx>
        <c:axId val="63701575"/>
        <c:scaling>
          <c:orientation val="minMax"/>
        </c:scaling>
        <c:delete val="0"/>
        <c:axPos val="b"/>
        <c:numFmt formatCode="DD/MM/YYYY" sourceLinked="1"/>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94134059"/>
        <c:crosses val="autoZero"/>
        <c:auto val="1"/>
        <c:lblAlgn val="ctr"/>
        <c:lblOffset val="100"/>
      </c:catAx>
      <c:valAx>
        <c:axId val="94134059"/>
        <c:scaling>
          <c:orientation val="minMax"/>
        </c:scaling>
        <c:delete val="0"/>
        <c:axPos val="l"/>
        <c:majorGridlines>
          <c:spPr>
            <a:ln w="9360">
              <a:solidFill>
                <a:srgbClr val="878787"/>
              </a:solidFill>
              <a:round/>
            </a:ln>
          </c:spPr>
        </c:majorGridlines>
        <c:numFmt formatCode="0.00%" sourceLinked="0"/>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63701575"/>
        <c:crosses val="autoZero"/>
        <c:crossBetween val="midCat"/>
      </c:valAx>
      <c:spPr>
        <a:noFill/>
        <a:ln w="9360">
          <a:solidFill>
            <a:srgbClr val="878787"/>
          </a:solidFill>
          <a:round/>
        </a:ln>
      </c:spPr>
    </c:plotArea>
    <c:legend>
      <c:legendPos val="r"/>
      <c:overlay val="0"/>
      <c:spPr>
        <a:noFill/>
        <a:ln>
          <a:noFill/>
        </a:ln>
      </c:spPr>
    </c:legend>
    <c:plotVisOnly val="1"/>
    <c:dispBlanksAs val="gap"/>
  </c:chart>
  <c:spPr>
    <a:solidFill>
      <a:srgbClr val="ffffff"/>
    </a:solidFill>
    <a:ln>
      <a:solidFill>
        <a:srgbClr val="ffffff"/>
      </a:solid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roundedCorners val="0"/>
  <c:chart>
    <c:view3D>
      <c:rotX val="15"/>
      <c:rotY val="20"/>
      <c:rAngAx val="1"/>
      <c:perspective val="30"/>
    </c:view3D>
    <c:floor>
      <c:spPr>
        <a:noFill/>
        <a:ln w="9360">
          <a:solidFill>
            <a:srgbClr val="878787"/>
          </a:solidFill>
          <a:round/>
        </a:ln>
      </c:spPr>
    </c:floor>
    <c:backWall>
      <c:spPr>
        <a:noFill/>
        <a:ln w="9360">
          <a:solidFill>
            <a:srgbClr val="878787"/>
          </a:solidFill>
          <a:round/>
        </a:ln>
      </c:spPr>
    </c:backWall>
    <c:plotArea>
      <c:bar3DChart>
        <c:barDir val="col"/>
        <c:grouping val="clustered"/>
        <c:varyColors val="0"/>
        <c:ser>
          <c:idx val="0"/>
          <c:order val="0"/>
          <c:tx>
            <c:strRef>
              <c:f>label 0</c:f>
              <c:strCache>
                <c:ptCount val="1"/>
                <c:pt idx="0">
                  <c:v>Вечер</c:v>
                </c:pt>
              </c:strCache>
            </c:strRef>
          </c:tx>
          <c:spPr>
            <a:solidFill>
              <a:srgbClr val="4f81bd"/>
            </a:solidFill>
            <a:ln>
              <a:noFill/>
            </a:ln>
          </c:spPr>
          <c:invertIfNegative val="0"/>
          <c:dLbls>
            <c:showLegendKey val="0"/>
            <c:showVal val="0"/>
            <c:showCatName val="0"/>
            <c:showSerName val="0"/>
            <c:showPercent val="0"/>
            <c:showLeaderLines val="0"/>
          </c:dLbls>
          <c:cat>
            <c:strRef>
              <c:f>categories</c:f>
              <c:strCache>
                <c:ptCount val="1"/>
                <c:pt idx="0">
                  <c:v>Вопрос 2 </c:v>
                </c:pt>
              </c:strCache>
            </c:strRef>
          </c:cat>
          <c:val>
            <c:numRef>
              <c:f>0</c:f>
              <c:numCache>
                <c:formatCode>General</c:formatCode>
                <c:ptCount val="1"/>
                <c:pt idx="0">
                  <c:v>0.603</c:v>
                </c:pt>
              </c:numCache>
            </c:numRef>
          </c:val>
        </c:ser>
        <c:ser>
          <c:idx val="1"/>
          <c:order val="1"/>
          <c:tx>
            <c:strRef>
              <c:f>label 1</c:f>
              <c:strCache>
                <c:ptCount val="1"/>
                <c:pt idx="0">
                  <c:v>День</c:v>
                </c:pt>
              </c:strCache>
            </c:strRef>
          </c:tx>
          <c:spPr>
            <a:solidFill>
              <a:srgbClr val="c0504d"/>
            </a:solidFill>
            <a:ln>
              <a:noFill/>
            </a:ln>
          </c:spPr>
          <c:invertIfNegative val="0"/>
          <c:dLbls>
            <c:showLegendKey val="0"/>
            <c:showVal val="0"/>
            <c:showCatName val="0"/>
            <c:showSerName val="0"/>
            <c:showPercent val="0"/>
            <c:showLeaderLines val="0"/>
          </c:dLbls>
          <c:cat>
            <c:strRef>
              <c:f>categories</c:f>
              <c:strCache>
                <c:ptCount val="1"/>
                <c:pt idx="0">
                  <c:v>Вопрос 2 </c:v>
                </c:pt>
              </c:strCache>
            </c:strRef>
          </c:cat>
          <c:val>
            <c:numRef>
              <c:f>1</c:f>
              <c:numCache>
                <c:formatCode>General</c:formatCode>
                <c:ptCount val="1"/>
                <c:pt idx="0">
                  <c:v>0.222</c:v>
                </c:pt>
              </c:numCache>
            </c:numRef>
          </c:val>
        </c:ser>
        <c:ser>
          <c:idx val="2"/>
          <c:order val="2"/>
          <c:tx>
            <c:strRef>
              <c:f>label 2</c:f>
              <c:strCache>
                <c:ptCount val="1"/>
                <c:pt idx="0">
                  <c:v>Ночь</c:v>
                </c:pt>
              </c:strCache>
            </c:strRef>
          </c:tx>
          <c:spPr>
            <a:solidFill>
              <a:srgbClr val="9bbb59"/>
            </a:solidFill>
            <a:ln>
              <a:noFill/>
            </a:ln>
          </c:spPr>
          <c:invertIfNegative val="0"/>
          <c:dLbls>
            <c:showLegendKey val="0"/>
            <c:showVal val="0"/>
            <c:showCatName val="0"/>
            <c:showSerName val="0"/>
            <c:showPercent val="0"/>
            <c:showLeaderLines val="0"/>
          </c:dLbls>
          <c:cat>
            <c:strRef>
              <c:f>categories</c:f>
              <c:strCache>
                <c:ptCount val="1"/>
                <c:pt idx="0">
                  <c:v>Вопрос 2 </c:v>
                </c:pt>
              </c:strCache>
            </c:strRef>
          </c:cat>
          <c:val>
            <c:numRef>
              <c:f>2</c:f>
              <c:numCache>
                <c:formatCode>General</c:formatCode>
                <c:ptCount val="1"/>
                <c:pt idx="0">
                  <c:v>0.185</c:v>
                </c:pt>
              </c:numCache>
            </c:numRef>
          </c:val>
        </c:ser>
        <c:gapWidth val="150"/>
        <c:shape val="box"/>
        <c:axId val="70738983"/>
        <c:axId val="74592273"/>
        <c:axId val="0"/>
      </c:bar3DChart>
      <c:catAx>
        <c:axId val="70738983"/>
        <c:scaling>
          <c:orientation val="minMax"/>
        </c:scaling>
        <c:delete val="0"/>
        <c:axPos val="b"/>
        <c:numFmt formatCode="DD/MM/YYYY" sourceLinked="1"/>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74592273"/>
        <c:crosses val="autoZero"/>
        <c:auto val="1"/>
        <c:lblAlgn val="ctr"/>
        <c:lblOffset val="100"/>
      </c:catAx>
      <c:valAx>
        <c:axId val="74592273"/>
        <c:scaling>
          <c:orientation val="minMax"/>
        </c:scaling>
        <c:delete val="0"/>
        <c:axPos val="l"/>
        <c:majorGridlines>
          <c:spPr>
            <a:ln w="9360">
              <a:solidFill>
                <a:srgbClr val="878787"/>
              </a:solidFill>
              <a:round/>
            </a:ln>
          </c:spPr>
        </c:majorGridlines>
        <c:numFmt formatCode="0.00%" sourceLinked="0"/>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70738983"/>
        <c:crosses val="autoZero"/>
        <c:crossBetween val="midCat"/>
      </c:valAx>
      <c:spPr>
        <a:noFill/>
        <a:ln w="9360">
          <a:solidFill>
            <a:srgbClr val="878787"/>
          </a:solidFill>
          <a:round/>
        </a:ln>
      </c:spPr>
    </c:plotArea>
    <c:legend>
      <c:legendPos val="r"/>
      <c:overlay val="0"/>
      <c:spPr>
        <a:noFill/>
        <a:ln>
          <a:noFill/>
        </a:ln>
      </c:spPr>
    </c:legend>
    <c:plotVisOnly val="1"/>
    <c:dispBlanksAs val="gap"/>
  </c:chart>
  <c:spPr>
    <a:solidFill>
      <a:srgbClr val="ffffff"/>
    </a:solidFill>
    <a:ln>
      <a:solidFill>
        <a:srgbClr val="ffffff"/>
      </a:solid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roundedCorners val="0"/>
  <c:chart>
    <c:view3D>
      <c:rotX val="15"/>
      <c:rotY val="20"/>
      <c:rAngAx val="1"/>
      <c:perspective val="30"/>
    </c:view3D>
    <c:floor>
      <c:spPr>
        <a:noFill/>
        <a:ln w="9360">
          <a:solidFill>
            <a:srgbClr val="878787"/>
          </a:solidFill>
          <a:round/>
        </a:ln>
      </c:spPr>
    </c:floor>
    <c:backWall>
      <c:spPr>
        <a:noFill/>
        <a:ln w="9360">
          <a:solidFill>
            <a:srgbClr val="878787"/>
          </a:solidFill>
          <a:round/>
        </a:ln>
      </c:spPr>
    </c:backWall>
    <c:plotArea>
      <c:bar3DChart>
        <c:barDir val="col"/>
        <c:grouping val="clustered"/>
        <c:varyColors val="0"/>
        <c:ser>
          <c:idx val="0"/>
          <c:order val="0"/>
          <c:tx>
            <c:strRef>
              <c:f>label 0</c:f>
              <c:strCache>
                <c:ptCount val="1"/>
                <c:pt idx="0">
                  <c:v>Удовлетворительно</c:v>
                </c:pt>
              </c:strCache>
            </c:strRef>
          </c:tx>
          <c:spPr>
            <a:solidFill>
              <a:srgbClr val="4f81bd"/>
            </a:solidFill>
            <a:ln>
              <a:noFill/>
            </a:ln>
          </c:spPr>
          <c:invertIfNegative val="0"/>
          <c:dLbls>
            <c:showLegendKey val="0"/>
            <c:showVal val="0"/>
            <c:showCatName val="0"/>
            <c:showSerName val="0"/>
            <c:showPercent val="0"/>
            <c:showLeaderLines val="0"/>
          </c:dLbls>
          <c:cat>
            <c:strRef>
              <c:f>categories</c:f>
              <c:strCache>
                <c:ptCount val="1"/>
                <c:pt idx="0">
                  <c:v>Вопрос 3</c:v>
                </c:pt>
              </c:strCache>
            </c:strRef>
          </c:cat>
          <c:val>
            <c:numRef>
              <c:f>0</c:f>
              <c:numCache>
                <c:formatCode>General</c:formatCode>
                <c:ptCount val="1"/>
                <c:pt idx="0">
                  <c:v>0.866000000000001</c:v>
                </c:pt>
              </c:numCache>
            </c:numRef>
          </c:val>
        </c:ser>
        <c:ser>
          <c:idx val="1"/>
          <c:order val="1"/>
          <c:tx>
            <c:strRef>
              <c:f>label 1</c:f>
              <c:strCache>
                <c:ptCount val="1"/>
                <c:pt idx="0">
                  <c:v>Хорошо</c:v>
                </c:pt>
              </c:strCache>
            </c:strRef>
          </c:tx>
          <c:spPr>
            <a:solidFill>
              <a:srgbClr val="c0504d"/>
            </a:solidFill>
            <a:ln>
              <a:noFill/>
            </a:ln>
          </c:spPr>
          <c:invertIfNegative val="0"/>
          <c:dLbls>
            <c:showLegendKey val="0"/>
            <c:showVal val="0"/>
            <c:showCatName val="0"/>
            <c:showSerName val="0"/>
            <c:showPercent val="0"/>
            <c:showLeaderLines val="0"/>
          </c:dLbls>
          <c:cat>
            <c:strRef>
              <c:f>categories</c:f>
              <c:strCache>
                <c:ptCount val="1"/>
                <c:pt idx="0">
                  <c:v>Вопрос 3</c:v>
                </c:pt>
              </c:strCache>
            </c:strRef>
          </c:cat>
          <c:val>
            <c:numRef>
              <c:f>1</c:f>
              <c:numCache>
                <c:formatCode>General</c:formatCode>
                <c:ptCount val="1"/>
                <c:pt idx="0">
                  <c:v>0.134</c:v>
                </c:pt>
              </c:numCache>
            </c:numRef>
          </c:val>
        </c:ser>
        <c:ser>
          <c:idx val="2"/>
          <c:order val="2"/>
          <c:tx>
            <c:strRef>
              <c:f>label 2</c:f>
              <c:strCache>
                <c:ptCount val="1"/>
                <c:pt idx="0">
                  <c:v>Неудовлетворительно</c:v>
                </c:pt>
              </c:strCache>
            </c:strRef>
          </c:tx>
          <c:spPr>
            <a:solidFill>
              <a:srgbClr val="9bbb59"/>
            </a:solidFill>
            <a:ln>
              <a:noFill/>
            </a:ln>
          </c:spPr>
          <c:invertIfNegative val="0"/>
          <c:dLbls>
            <c:showLegendKey val="0"/>
            <c:showVal val="0"/>
            <c:showCatName val="0"/>
            <c:showSerName val="0"/>
            <c:showPercent val="0"/>
            <c:showLeaderLines val="0"/>
          </c:dLbls>
          <c:cat>
            <c:strRef>
              <c:f>categories</c:f>
              <c:strCache>
                <c:ptCount val="1"/>
                <c:pt idx="0">
                  <c:v>Вопрос 3</c:v>
                </c:pt>
              </c:strCache>
            </c:strRef>
          </c:cat>
          <c:val>
            <c:numRef>
              <c:f>2</c:f>
              <c:numCache>
                <c:formatCode>General</c:formatCode>
                <c:ptCount val="1"/>
                <c:pt idx="0">
                  <c:v>0.134</c:v>
                </c:pt>
              </c:numCache>
            </c:numRef>
          </c:val>
        </c:ser>
        <c:ser>
          <c:idx val="3"/>
          <c:order val="3"/>
          <c:tx>
            <c:strRef>
              <c:f>label 3</c:f>
              <c:strCache>
                <c:ptCount val="1"/>
                <c:pt idx="0">
                  <c:v>Отлично</c:v>
                </c:pt>
              </c:strCache>
            </c:strRef>
          </c:tx>
          <c:spPr>
            <a:solidFill>
              <a:srgbClr val="8064a2"/>
            </a:solidFill>
            <a:ln>
              <a:noFill/>
            </a:ln>
          </c:spPr>
          <c:invertIfNegative val="0"/>
          <c:dLbls>
            <c:showLegendKey val="0"/>
            <c:showVal val="0"/>
            <c:showCatName val="0"/>
            <c:showSerName val="0"/>
            <c:showPercent val="0"/>
            <c:showLeaderLines val="0"/>
          </c:dLbls>
          <c:cat>
            <c:strRef>
              <c:f>categories</c:f>
              <c:strCache>
                <c:ptCount val="1"/>
                <c:pt idx="0">
                  <c:v>Вопрос 3</c:v>
                </c:pt>
              </c:strCache>
            </c:strRef>
          </c:cat>
          <c:val>
            <c:numRef>
              <c:f>3</c:f>
              <c:numCache>
                <c:formatCode>General</c:formatCode>
                <c:ptCount val="1"/>
                <c:pt idx="0">
                  <c:v>0</c:v>
                </c:pt>
              </c:numCache>
            </c:numRef>
          </c:val>
        </c:ser>
        <c:gapWidth val="150"/>
        <c:shape val="box"/>
        <c:axId val="83362843"/>
        <c:axId val="65639618"/>
        <c:axId val="0"/>
      </c:bar3DChart>
      <c:catAx>
        <c:axId val="83362843"/>
        <c:scaling>
          <c:orientation val="minMax"/>
        </c:scaling>
        <c:delete val="0"/>
        <c:axPos val="b"/>
        <c:numFmt formatCode="DD/MM/YYYY" sourceLinked="1"/>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65639618"/>
        <c:crosses val="autoZero"/>
        <c:auto val="1"/>
        <c:lblAlgn val="ctr"/>
        <c:lblOffset val="100"/>
      </c:catAx>
      <c:valAx>
        <c:axId val="65639618"/>
        <c:scaling>
          <c:orientation val="minMax"/>
        </c:scaling>
        <c:delete val="0"/>
        <c:axPos val="l"/>
        <c:majorGridlines>
          <c:spPr>
            <a:ln w="9360">
              <a:solidFill>
                <a:srgbClr val="878787"/>
              </a:solidFill>
              <a:round/>
            </a:ln>
          </c:spPr>
        </c:majorGridlines>
        <c:numFmt formatCode="0.00%" sourceLinked="0"/>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83362843"/>
        <c:crosses val="autoZero"/>
        <c:crossBetween val="midCat"/>
      </c:valAx>
      <c:spPr>
        <a:noFill/>
        <a:ln w="9360">
          <a:solidFill>
            <a:srgbClr val="878787"/>
          </a:solidFill>
          <a:round/>
        </a:ln>
      </c:spPr>
    </c:plotArea>
    <c:legend>
      <c:legendPos val="r"/>
      <c:overlay val="0"/>
      <c:spPr>
        <a:noFill/>
        <a:ln>
          <a:noFill/>
        </a:ln>
      </c:spPr>
    </c:legend>
    <c:plotVisOnly val="1"/>
    <c:dispBlanksAs val="gap"/>
  </c:chart>
  <c:spPr>
    <a:solidFill>
      <a:srgbClr val="ffffff"/>
    </a:solidFill>
    <a:ln>
      <a:solidFill>
        <a:srgbClr val="ffffff"/>
      </a:solid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roundedCorners val="0"/>
  <c:chart>
    <c:view3D>
      <c:rotX val="15"/>
      <c:rotY val="20"/>
      <c:rAngAx val="1"/>
      <c:perspective val="30"/>
    </c:view3D>
    <c:floor>
      <c:spPr>
        <a:noFill/>
        <a:ln w="9360">
          <a:solidFill>
            <a:srgbClr val="878787"/>
          </a:solidFill>
          <a:round/>
        </a:ln>
      </c:spPr>
    </c:floor>
    <c:backWall>
      <c:spPr>
        <a:noFill/>
        <a:ln w="9360">
          <a:solidFill>
            <a:srgbClr val="878787"/>
          </a:solidFill>
          <a:round/>
        </a:ln>
      </c:spPr>
    </c:backWall>
    <c:plotArea>
      <c:bar3DChart>
        <c:barDir val="col"/>
        <c:grouping val="clustered"/>
        <c:varyColors val="0"/>
        <c:ser>
          <c:idx val="0"/>
          <c:order val="0"/>
          <c:tx>
            <c:strRef>
              <c:f>label 0</c:f>
              <c:strCache>
                <c:ptCount val="1"/>
                <c:pt idx="0">
                  <c:v>Заставляют родители</c:v>
                </c:pt>
              </c:strCache>
            </c:strRef>
          </c:tx>
          <c:spPr>
            <a:solidFill>
              <a:srgbClr val="4f81bd"/>
            </a:solidFill>
            <a:ln>
              <a:noFill/>
            </a:ln>
          </c:spPr>
          <c:invertIfNegative val="0"/>
          <c:dLbls>
            <c:showLegendKey val="0"/>
            <c:showVal val="0"/>
            <c:showCatName val="0"/>
            <c:showSerName val="0"/>
            <c:showPercent val="0"/>
            <c:showLeaderLines val="0"/>
          </c:dLbls>
          <c:cat>
            <c:strRef>
              <c:f>categories</c:f>
              <c:strCache>
                <c:ptCount val="1"/>
                <c:pt idx="0">
                  <c:v>Вопрос 4</c:v>
                </c:pt>
              </c:strCache>
            </c:strRef>
          </c:cat>
          <c:val>
            <c:numRef>
              <c:f>0</c:f>
              <c:numCache>
                <c:formatCode>General</c:formatCode>
                <c:ptCount val="1"/>
                <c:pt idx="0">
                  <c:v>0.643</c:v>
                </c:pt>
              </c:numCache>
            </c:numRef>
          </c:val>
        </c:ser>
        <c:ser>
          <c:idx val="1"/>
          <c:order val="1"/>
          <c:tx>
            <c:strRef>
              <c:f>label 1</c:f>
              <c:strCache>
                <c:ptCount val="1"/>
                <c:pt idx="0">
                  <c:v>Нравится</c:v>
                </c:pt>
              </c:strCache>
            </c:strRef>
          </c:tx>
          <c:spPr>
            <a:solidFill>
              <a:srgbClr val="c0504d"/>
            </a:solidFill>
            <a:ln>
              <a:noFill/>
            </a:ln>
          </c:spPr>
          <c:invertIfNegative val="0"/>
          <c:dLbls>
            <c:showLegendKey val="0"/>
            <c:showVal val="0"/>
            <c:showCatName val="0"/>
            <c:showSerName val="0"/>
            <c:showPercent val="0"/>
            <c:showLeaderLines val="0"/>
          </c:dLbls>
          <c:cat>
            <c:strRef>
              <c:f>categories</c:f>
              <c:strCache>
                <c:ptCount val="1"/>
                <c:pt idx="0">
                  <c:v>Вопрос 4</c:v>
                </c:pt>
              </c:strCache>
            </c:strRef>
          </c:cat>
          <c:val>
            <c:numRef>
              <c:f>1</c:f>
              <c:numCache>
                <c:formatCode>General</c:formatCode>
                <c:ptCount val="1"/>
                <c:pt idx="0">
                  <c:v>0.242</c:v>
                </c:pt>
              </c:numCache>
            </c:numRef>
          </c:val>
        </c:ser>
        <c:ser>
          <c:idx val="2"/>
          <c:order val="2"/>
          <c:tx>
            <c:strRef>
              <c:f>label 2</c:f>
              <c:strCache>
                <c:ptCount val="1"/>
                <c:pt idx="0">
                  <c:v>Пригодится для будущего</c:v>
                </c:pt>
              </c:strCache>
            </c:strRef>
          </c:tx>
          <c:spPr>
            <a:solidFill>
              <a:srgbClr val="9bbb59"/>
            </a:solidFill>
            <a:ln>
              <a:noFill/>
            </a:ln>
          </c:spPr>
          <c:invertIfNegative val="0"/>
          <c:dLbls>
            <c:showLegendKey val="0"/>
            <c:showVal val="0"/>
            <c:showCatName val="0"/>
            <c:showSerName val="0"/>
            <c:showPercent val="0"/>
            <c:showLeaderLines val="0"/>
          </c:dLbls>
          <c:cat>
            <c:strRef>
              <c:f>categories</c:f>
              <c:strCache>
                <c:ptCount val="1"/>
                <c:pt idx="0">
                  <c:v>Вопрос 4</c:v>
                </c:pt>
              </c:strCache>
            </c:strRef>
          </c:cat>
          <c:val>
            <c:numRef>
              <c:f>2</c:f>
              <c:numCache>
                <c:formatCode>General</c:formatCode>
                <c:ptCount val="1"/>
                <c:pt idx="0">
                  <c:v>0.095</c:v>
                </c:pt>
              </c:numCache>
            </c:numRef>
          </c:val>
        </c:ser>
        <c:gapWidth val="150"/>
        <c:shape val="box"/>
        <c:axId val="84432921"/>
        <c:axId val="44424070"/>
        <c:axId val="0"/>
      </c:bar3DChart>
      <c:catAx>
        <c:axId val="84432921"/>
        <c:scaling>
          <c:orientation val="minMax"/>
        </c:scaling>
        <c:delete val="0"/>
        <c:axPos val="b"/>
        <c:numFmt formatCode="DD/MM/YYYY" sourceLinked="1"/>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44424070"/>
        <c:crosses val="autoZero"/>
        <c:auto val="1"/>
        <c:lblAlgn val="ctr"/>
        <c:lblOffset val="100"/>
      </c:catAx>
      <c:valAx>
        <c:axId val="44424070"/>
        <c:scaling>
          <c:orientation val="minMax"/>
        </c:scaling>
        <c:delete val="0"/>
        <c:axPos val="l"/>
        <c:majorGridlines>
          <c:spPr>
            <a:ln w="9360">
              <a:solidFill>
                <a:srgbClr val="878787"/>
              </a:solidFill>
              <a:round/>
            </a:ln>
          </c:spPr>
        </c:majorGridlines>
        <c:numFmt formatCode="0.00%" sourceLinked="0"/>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84432921"/>
        <c:crosses val="autoZero"/>
        <c:crossBetween val="midCat"/>
      </c:valAx>
      <c:spPr>
        <a:noFill/>
        <a:ln w="9360">
          <a:solidFill>
            <a:srgbClr val="878787"/>
          </a:solidFill>
          <a:round/>
        </a:ln>
      </c:spPr>
    </c:plotArea>
    <c:legend>
      <c:legendPos val="r"/>
      <c:overlay val="0"/>
      <c:spPr>
        <a:noFill/>
        <a:ln>
          <a:noFill/>
        </a:ln>
      </c:spPr>
    </c:legend>
    <c:plotVisOnly val="1"/>
    <c:dispBlanksAs val="gap"/>
  </c:chart>
  <c:spPr>
    <a:solidFill>
      <a:srgbClr val="ffffff"/>
    </a:solidFill>
    <a:ln>
      <a:solidFill>
        <a:srgbClr val="ffffff"/>
      </a:solid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US"/>
  <c:roundedCorners val="0"/>
  <c:chart>
    <c:view3D>
      <c:rotX val="15"/>
      <c:rotY val="20"/>
      <c:rAngAx val="1"/>
      <c:perspective val="30"/>
    </c:view3D>
    <c:floor>
      <c:spPr>
        <a:noFill/>
        <a:ln w="9360">
          <a:solidFill>
            <a:srgbClr val="878787"/>
          </a:solidFill>
          <a:round/>
        </a:ln>
      </c:spPr>
    </c:floor>
    <c:backWall>
      <c:spPr>
        <a:noFill/>
        <a:ln w="9360">
          <a:solidFill>
            <a:srgbClr val="878787"/>
          </a:solidFill>
          <a:round/>
        </a:ln>
      </c:spPr>
    </c:backWall>
    <c:plotArea>
      <c:bar3DChart>
        <c:barDir val="col"/>
        <c:grouping val="clustered"/>
        <c:varyColors val="0"/>
        <c:ser>
          <c:idx val="0"/>
          <c:order val="0"/>
          <c:tx>
            <c:strRef>
              <c:f>label 0</c:f>
              <c:strCache>
                <c:ptCount val="1"/>
                <c:pt idx="0">
                  <c:v>В неполных семьях</c:v>
                </c:pt>
              </c:strCache>
            </c:strRef>
          </c:tx>
          <c:spPr>
            <a:solidFill>
              <a:srgbClr val="4f81bd"/>
            </a:solidFill>
            <a:ln>
              <a:noFill/>
            </a:ln>
          </c:spPr>
          <c:invertIfNegative val="0"/>
          <c:dLbls>
            <c:showLegendKey val="0"/>
            <c:showVal val="0"/>
            <c:showCatName val="0"/>
            <c:showSerName val="0"/>
            <c:showPercent val="0"/>
            <c:showLeaderLines val="0"/>
          </c:dLbls>
          <c:cat>
            <c:strRef>
              <c:f>categories</c:f>
              <c:strCache>
                <c:ptCount val="1"/>
                <c:pt idx="0">
                  <c:v>Вопрос 5</c:v>
                </c:pt>
              </c:strCache>
            </c:strRef>
          </c:cat>
          <c:val>
            <c:numRef>
              <c:f>0</c:f>
              <c:numCache>
                <c:formatCode>General</c:formatCode>
                <c:ptCount val="1"/>
                <c:pt idx="0">
                  <c:v>0.681</c:v>
                </c:pt>
              </c:numCache>
            </c:numRef>
          </c:val>
        </c:ser>
        <c:ser>
          <c:idx val="1"/>
          <c:order val="1"/>
          <c:tx>
            <c:strRef>
              <c:f>label 1</c:f>
              <c:strCache>
                <c:ptCount val="1"/>
                <c:pt idx="0">
                  <c:v>С бабушкой и дедушкой</c:v>
                </c:pt>
              </c:strCache>
            </c:strRef>
          </c:tx>
          <c:spPr>
            <a:solidFill>
              <a:srgbClr val="c0504d"/>
            </a:solidFill>
            <a:ln>
              <a:noFill/>
            </a:ln>
          </c:spPr>
          <c:invertIfNegative val="0"/>
          <c:dLbls>
            <c:showLegendKey val="0"/>
            <c:showVal val="0"/>
            <c:showCatName val="0"/>
            <c:showSerName val="0"/>
            <c:showPercent val="0"/>
            <c:showLeaderLines val="0"/>
          </c:dLbls>
          <c:cat>
            <c:strRef>
              <c:f>categories</c:f>
              <c:strCache>
                <c:ptCount val="1"/>
                <c:pt idx="0">
                  <c:v>Вопрос 5</c:v>
                </c:pt>
              </c:strCache>
            </c:strRef>
          </c:cat>
          <c:val>
            <c:numRef>
              <c:f>1</c:f>
              <c:numCache>
                <c:formatCode>General</c:formatCode>
                <c:ptCount val="1"/>
                <c:pt idx="0">
                  <c:v>0.103</c:v>
                </c:pt>
              </c:numCache>
            </c:numRef>
          </c:val>
        </c:ser>
        <c:ser>
          <c:idx val="2"/>
          <c:order val="2"/>
          <c:tx>
            <c:strRef>
              <c:f>label 2</c:f>
              <c:strCache>
                <c:ptCount val="1"/>
                <c:pt idx="0">
                  <c:v>В полных семьях</c:v>
                </c:pt>
              </c:strCache>
            </c:strRef>
          </c:tx>
          <c:spPr>
            <a:solidFill>
              <a:srgbClr val="9bbb59"/>
            </a:solidFill>
            <a:ln>
              <a:noFill/>
            </a:ln>
          </c:spPr>
          <c:invertIfNegative val="0"/>
          <c:dLbls>
            <c:showLegendKey val="0"/>
            <c:showVal val="0"/>
            <c:showCatName val="0"/>
            <c:showSerName val="0"/>
            <c:showPercent val="0"/>
            <c:showLeaderLines val="0"/>
          </c:dLbls>
          <c:cat>
            <c:strRef>
              <c:f>categories</c:f>
              <c:strCache>
                <c:ptCount val="1"/>
                <c:pt idx="0">
                  <c:v>Вопрос 5</c:v>
                </c:pt>
              </c:strCache>
            </c:strRef>
          </c:cat>
          <c:val>
            <c:numRef>
              <c:f>2</c:f>
              <c:numCache>
                <c:formatCode>General</c:formatCode>
                <c:ptCount val="1"/>
                <c:pt idx="0">
                  <c:v>0.216</c:v>
                </c:pt>
              </c:numCache>
            </c:numRef>
          </c:val>
        </c:ser>
        <c:gapWidth val="150"/>
        <c:shape val="box"/>
        <c:axId val="15293806"/>
        <c:axId val="8460025"/>
        <c:axId val="0"/>
      </c:bar3DChart>
      <c:catAx>
        <c:axId val="15293806"/>
        <c:scaling>
          <c:orientation val="minMax"/>
        </c:scaling>
        <c:delete val="0"/>
        <c:axPos val="b"/>
        <c:numFmt formatCode="DD/MM/YYYY" sourceLinked="1"/>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8460025"/>
        <c:crosses val="autoZero"/>
        <c:auto val="1"/>
        <c:lblAlgn val="ctr"/>
        <c:lblOffset val="100"/>
      </c:catAx>
      <c:valAx>
        <c:axId val="8460025"/>
        <c:scaling>
          <c:orientation val="minMax"/>
        </c:scaling>
        <c:delete val="0"/>
        <c:axPos val="l"/>
        <c:majorGridlines>
          <c:spPr>
            <a:ln w="9360">
              <a:solidFill>
                <a:srgbClr val="878787"/>
              </a:solidFill>
              <a:round/>
            </a:ln>
          </c:spPr>
        </c:majorGridlines>
        <c:numFmt formatCode="0.00%" sourceLinked="0"/>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15293806"/>
        <c:crosses val="autoZero"/>
        <c:crossBetween val="midCat"/>
      </c:valAx>
      <c:spPr>
        <a:noFill/>
        <a:ln w="9360">
          <a:solidFill>
            <a:srgbClr val="878787"/>
          </a:solidFill>
          <a:round/>
        </a:ln>
      </c:spPr>
    </c:plotArea>
    <c:legend>
      <c:legendPos val="r"/>
      <c:overlay val="0"/>
      <c:spPr>
        <a:noFill/>
        <a:ln>
          <a:noFill/>
        </a:ln>
      </c:spPr>
    </c:legend>
    <c:plotVisOnly val="1"/>
    <c:dispBlanksAs val="gap"/>
  </c:chart>
  <c:spPr>
    <a:solidFill>
      <a:srgbClr val="ffffff"/>
    </a:solidFill>
    <a:ln>
      <a:solidFill>
        <a:srgbClr val="ffffff"/>
      </a:solid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en-US"/>
  <c:roundedCorners val="0"/>
  <c:chart>
    <c:view3D>
      <c:rotX val="15"/>
      <c:rotY val="20"/>
      <c:rAngAx val="1"/>
      <c:perspective val="30"/>
    </c:view3D>
    <c:floor>
      <c:spPr>
        <a:noFill/>
        <a:ln w="9360">
          <a:solidFill>
            <a:srgbClr val="878787"/>
          </a:solidFill>
          <a:round/>
        </a:ln>
      </c:spPr>
    </c:floor>
    <c:backWall>
      <c:spPr>
        <a:noFill/>
        <a:ln w="9360">
          <a:solidFill>
            <a:srgbClr val="878787"/>
          </a:solidFill>
          <a:round/>
        </a:ln>
      </c:spPr>
    </c:backWall>
    <c:plotArea>
      <c:bar3DChart>
        <c:barDir val="col"/>
        <c:grouping val="clustered"/>
        <c:varyColors val="0"/>
        <c:ser>
          <c:idx val="0"/>
          <c:order val="0"/>
          <c:tx>
            <c:strRef>
              <c:f>label 0</c:f>
              <c:strCache>
                <c:ptCount val="1"/>
                <c:pt idx="0">
                  <c:v>Воспитывает мать</c:v>
                </c:pt>
              </c:strCache>
            </c:strRef>
          </c:tx>
          <c:spPr>
            <a:solidFill>
              <a:srgbClr val="4f81bd"/>
            </a:solidFill>
            <a:ln>
              <a:noFill/>
            </a:ln>
          </c:spPr>
          <c:invertIfNegative val="0"/>
          <c:dLbls>
            <c:showLegendKey val="0"/>
            <c:showVal val="0"/>
            <c:showCatName val="0"/>
            <c:showSerName val="0"/>
            <c:showPercent val="0"/>
            <c:showLeaderLines val="0"/>
          </c:dLbls>
          <c:cat>
            <c:strRef>
              <c:f>categories</c:f>
              <c:strCache>
                <c:ptCount val="1"/>
                <c:pt idx="0">
                  <c:v>Вопрос 6</c:v>
                </c:pt>
              </c:strCache>
            </c:strRef>
          </c:cat>
          <c:val>
            <c:numRef>
              <c:f>0</c:f>
              <c:numCache>
                <c:formatCode>General</c:formatCode>
                <c:ptCount val="1"/>
                <c:pt idx="0">
                  <c:v>0.575</c:v>
                </c:pt>
              </c:numCache>
            </c:numRef>
          </c:val>
        </c:ser>
        <c:ser>
          <c:idx val="1"/>
          <c:order val="1"/>
          <c:tx>
            <c:strRef>
              <c:f>label 1</c:f>
              <c:strCache>
                <c:ptCount val="1"/>
                <c:pt idx="0">
                  <c:v>Воспитывает отец</c:v>
                </c:pt>
              </c:strCache>
            </c:strRef>
          </c:tx>
          <c:spPr>
            <a:solidFill>
              <a:srgbClr val="c0504d"/>
            </a:solidFill>
            <a:ln>
              <a:noFill/>
            </a:ln>
          </c:spPr>
          <c:invertIfNegative val="0"/>
          <c:dLbls>
            <c:showLegendKey val="0"/>
            <c:showVal val="0"/>
            <c:showCatName val="0"/>
            <c:showSerName val="0"/>
            <c:showPercent val="0"/>
            <c:showLeaderLines val="0"/>
          </c:dLbls>
          <c:cat>
            <c:strRef>
              <c:f>categories</c:f>
              <c:strCache>
                <c:ptCount val="1"/>
                <c:pt idx="0">
                  <c:v>Вопрос 6</c:v>
                </c:pt>
              </c:strCache>
            </c:strRef>
          </c:cat>
          <c:val>
            <c:numRef>
              <c:f>1</c:f>
              <c:numCache>
                <c:formatCode>General</c:formatCode>
                <c:ptCount val="1"/>
                <c:pt idx="0">
                  <c:v>0.222</c:v>
                </c:pt>
              </c:numCache>
            </c:numRef>
          </c:val>
        </c:ser>
        <c:ser>
          <c:idx val="2"/>
          <c:order val="2"/>
          <c:tx>
            <c:strRef>
              <c:f>label 2</c:f>
              <c:strCache>
                <c:ptCount val="1"/>
                <c:pt idx="0">
                  <c:v>Воспитывают бабушки и дедушки</c:v>
                </c:pt>
              </c:strCache>
            </c:strRef>
          </c:tx>
          <c:spPr>
            <a:solidFill>
              <a:srgbClr val="9bbb59"/>
            </a:solidFill>
            <a:ln>
              <a:noFill/>
            </a:ln>
          </c:spPr>
          <c:invertIfNegative val="0"/>
          <c:dLbls>
            <c:showLegendKey val="0"/>
            <c:showVal val="0"/>
            <c:showCatName val="0"/>
            <c:showSerName val="0"/>
            <c:showPercent val="0"/>
            <c:showLeaderLines val="0"/>
          </c:dLbls>
          <c:cat>
            <c:strRef>
              <c:f>categories</c:f>
              <c:strCache>
                <c:ptCount val="1"/>
                <c:pt idx="0">
                  <c:v>Вопрос 6</c:v>
                </c:pt>
              </c:strCache>
            </c:strRef>
          </c:cat>
          <c:val>
            <c:numRef>
              <c:f>2</c:f>
              <c:numCache>
                <c:formatCode>General</c:formatCode>
                <c:ptCount val="1"/>
                <c:pt idx="0">
                  <c:v>0.082</c:v>
                </c:pt>
              </c:numCache>
            </c:numRef>
          </c:val>
        </c:ser>
        <c:ser>
          <c:idx val="3"/>
          <c:order val="3"/>
          <c:tx>
            <c:strRef>
              <c:f>label 3</c:f>
              <c:strCache>
                <c:ptCount val="1"/>
                <c:pt idx="0">
                  <c:v>Оба родителя</c:v>
                </c:pt>
              </c:strCache>
            </c:strRef>
          </c:tx>
          <c:spPr>
            <a:solidFill>
              <a:srgbClr val="8064a2"/>
            </a:solidFill>
            <a:ln>
              <a:noFill/>
            </a:ln>
          </c:spPr>
          <c:invertIfNegative val="0"/>
          <c:dLbls>
            <c:showLegendKey val="0"/>
            <c:showVal val="0"/>
            <c:showCatName val="0"/>
            <c:showSerName val="0"/>
            <c:showPercent val="0"/>
            <c:showLeaderLines val="0"/>
          </c:dLbls>
          <c:cat>
            <c:strRef>
              <c:f>categories</c:f>
              <c:strCache>
                <c:ptCount val="1"/>
                <c:pt idx="0">
                  <c:v>Вопрос 6</c:v>
                </c:pt>
              </c:strCache>
            </c:strRef>
          </c:cat>
          <c:val>
            <c:numRef>
              <c:f>3</c:f>
              <c:numCache>
                <c:formatCode>General</c:formatCode>
                <c:ptCount val="1"/>
                <c:pt idx="0">
                  <c:v>0.121</c:v>
                </c:pt>
              </c:numCache>
            </c:numRef>
          </c:val>
        </c:ser>
        <c:gapWidth val="150"/>
        <c:shape val="box"/>
        <c:axId val="19247919"/>
        <c:axId val="17322198"/>
        <c:axId val="0"/>
      </c:bar3DChart>
      <c:catAx>
        <c:axId val="19247919"/>
        <c:scaling>
          <c:orientation val="minMax"/>
        </c:scaling>
        <c:delete val="0"/>
        <c:axPos val="b"/>
        <c:numFmt formatCode="DD/MM/YYYY" sourceLinked="1"/>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17322198"/>
        <c:crosses val="autoZero"/>
        <c:auto val="1"/>
        <c:lblAlgn val="ctr"/>
        <c:lblOffset val="100"/>
      </c:catAx>
      <c:valAx>
        <c:axId val="17322198"/>
        <c:scaling>
          <c:orientation val="minMax"/>
        </c:scaling>
        <c:delete val="0"/>
        <c:axPos val="l"/>
        <c:majorGridlines>
          <c:spPr>
            <a:ln w="9360">
              <a:solidFill>
                <a:srgbClr val="878787"/>
              </a:solidFill>
              <a:round/>
            </a:ln>
          </c:spPr>
        </c:majorGridlines>
        <c:numFmt formatCode="0.00%" sourceLinked="0"/>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19247919"/>
        <c:crosses val="autoZero"/>
        <c:crossBetween val="midCat"/>
      </c:valAx>
      <c:spPr>
        <a:noFill/>
        <a:ln w="9360">
          <a:solidFill>
            <a:srgbClr val="878787"/>
          </a:solidFill>
          <a:round/>
        </a:ln>
      </c:spPr>
    </c:plotArea>
    <c:legend>
      <c:legendPos val="r"/>
      <c:overlay val="0"/>
      <c:spPr>
        <a:noFill/>
        <a:ln>
          <a:noFill/>
        </a:ln>
      </c:spPr>
    </c:legend>
    <c:plotVisOnly val="1"/>
    <c:dispBlanksAs val="gap"/>
  </c:chart>
  <c:spPr>
    <a:solidFill>
      <a:srgbClr val="ffffff"/>
    </a:solidFill>
    <a:ln>
      <a:solidFill>
        <a:srgbClr val="ffffff"/>
      </a:solid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en-US"/>
  <c:roundedCorners val="0"/>
  <c:chart>
    <c:view3D>
      <c:rotX val="15"/>
      <c:rotY val="20"/>
      <c:rAngAx val="1"/>
      <c:perspective val="30"/>
    </c:view3D>
    <c:floor>
      <c:spPr>
        <a:noFill/>
        <a:ln w="9360">
          <a:solidFill>
            <a:srgbClr val="878787"/>
          </a:solidFill>
          <a:round/>
        </a:ln>
      </c:spPr>
    </c:floor>
    <c:backWall>
      <c:spPr>
        <a:noFill/>
        <a:ln w="9360">
          <a:solidFill>
            <a:srgbClr val="878787"/>
          </a:solidFill>
          <a:round/>
        </a:ln>
      </c:spPr>
    </c:backWall>
    <c:plotArea>
      <c:bar3DChart>
        <c:barDir val="col"/>
        <c:grouping val="clustered"/>
        <c:varyColors val="0"/>
        <c:ser>
          <c:idx val="0"/>
          <c:order val="0"/>
          <c:tx>
            <c:strRef>
              <c:f>label 0</c:f>
              <c:strCache>
                <c:ptCount val="1"/>
                <c:pt idx="0">
                  <c:v>Работают в городе</c:v>
                </c:pt>
              </c:strCache>
            </c:strRef>
          </c:tx>
          <c:spPr>
            <a:solidFill>
              <a:srgbClr val="4f81bd"/>
            </a:solidFill>
            <a:ln>
              <a:noFill/>
            </a:ln>
          </c:spPr>
          <c:invertIfNegative val="0"/>
          <c:dLbls>
            <c:showLegendKey val="0"/>
            <c:showVal val="0"/>
            <c:showCatName val="0"/>
            <c:showSerName val="0"/>
            <c:showPercent val="0"/>
            <c:showLeaderLines val="0"/>
          </c:dLbls>
          <c:cat>
            <c:strRef>
              <c:f>categories</c:f>
              <c:strCache>
                <c:ptCount val="1"/>
                <c:pt idx="0">
                  <c:v>Вопрос 7</c:v>
                </c:pt>
              </c:strCache>
            </c:strRef>
          </c:cat>
          <c:val>
            <c:numRef>
              <c:f>0</c:f>
              <c:numCache>
                <c:formatCode>General</c:formatCode>
                <c:ptCount val="1"/>
                <c:pt idx="0">
                  <c:v>0.804</c:v>
                </c:pt>
              </c:numCache>
            </c:numRef>
          </c:val>
        </c:ser>
        <c:ser>
          <c:idx val="1"/>
          <c:order val="1"/>
          <c:tx>
            <c:strRef>
              <c:f>label 1</c:f>
              <c:strCache>
                <c:ptCount val="1"/>
                <c:pt idx="0">
                  <c:v>В других городах</c:v>
                </c:pt>
              </c:strCache>
            </c:strRef>
          </c:tx>
          <c:spPr>
            <a:solidFill>
              <a:srgbClr val="c0504d"/>
            </a:solidFill>
            <a:ln>
              <a:noFill/>
            </a:ln>
          </c:spPr>
          <c:invertIfNegative val="0"/>
          <c:dLbls>
            <c:showLegendKey val="0"/>
            <c:showVal val="0"/>
            <c:showCatName val="0"/>
            <c:showSerName val="0"/>
            <c:showPercent val="0"/>
            <c:showLeaderLines val="0"/>
          </c:dLbls>
          <c:cat>
            <c:strRef>
              <c:f>categories</c:f>
              <c:strCache>
                <c:ptCount val="1"/>
                <c:pt idx="0">
                  <c:v>Вопрос 7</c:v>
                </c:pt>
              </c:strCache>
            </c:strRef>
          </c:cat>
          <c:val>
            <c:numRef>
              <c:f>1</c:f>
              <c:numCache>
                <c:formatCode>General</c:formatCode>
                <c:ptCount val="1"/>
                <c:pt idx="0">
                  <c:v>0.196</c:v>
                </c:pt>
              </c:numCache>
            </c:numRef>
          </c:val>
        </c:ser>
        <c:ser>
          <c:idx val="2"/>
          <c:order val="2"/>
          <c:tx>
            <c:strRef>
              <c:f>label 2</c:f>
              <c:strCache>
                <c:ptCount val="1"/>
                <c:pt idx="0">
                  <c:v>Не работают </c:v>
                </c:pt>
              </c:strCache>
            </c:strRef>
          </c:tx>
          <c:spPr>
            <a:solidFill>
              <a:srgbClr val="9bbb59"/>
            </a:solidFill>
            <a:ln>
              <a:noFill/>
            </a:ln>
          </c:spPr>
          <c:invertIfNegative val="0"/>
          <c:dLbls>
            <c:showLegendKey val="0"/>
            <c:showVal val="0"/>
            <c:showCatName val="0"/>
            <c:showSerName val="0"/>
            <c:showPercent val="0"/>
            <c:showLeaderLines val="0"/>
          </c:dLbls>
          <c:cat>
            <c:strRef>
              <c:f>categories</c:f>
              <c:strCache>
                <c:ptCount val="1"/>
                <c:pt idx="0">
                  <c:v>Вопрос 7</c:v>
                </c:pt>
              </c:strCache>
            </c:strRef>
          </c:cat>
          <c:val>
            <c:numRef>
              <c:f>2</c:f>
              <c:numCache>
                <c:formatCode>General</c:formatCode>
                <c:ptCount val="1"/>
                <c:pt idx="0">
                  <c:v>0</c:v>
                </c:pt>
              </c:numCache>
            </c:numRef>
          </c:val>
        </c:ser>
        <c:gapWidth val="150"/>
        <c:shape val="box"/>
        <c:axId val="72002034"/>
        <c:axId val="92983424"/>
        <c:axId val="0"/>
      </c:bar3DChart>
      <c:catAx>
        <c:axId val="72002034"/>
        <c:scaling>
          <c:orientation val="minMax"/>
        </c:scaling>
        <c:delete val="0"/>
        <c:axPos val="b"/>
        <c:numFmt formatCode="DD/MM/YYYY" sourceLinked="1"/>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92983424"/>
        <c:crosses val="autoZero"/>
        <c:auto val="1"/>
        <c:lblAlgn val="ctr"/>
        <c:lblOffset val="100"/>
      </c:catAx>
      <c:valAx>
        <c:axId val="92983424"/>
        <c:scaling>
          <c:orientation val="minMax"/>
        </c:scaling>
        <c:delete val="0"/>
        <c:axPos val="l"/>
        <c:majorGridlines>
          <c:spPr>
            <a:ln w="9360">
              <a:solidFill>
                <a:srgbClr val="878787"/>
              </a:solidFill>
              <a:round/>
            </a:ln>
          </c:spPr>
        </c:majorGridlines>
        <c:numFmt formatCode="0.00%" sourceLinked="0"/>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72002034"/>
        <c:crosses val="autoZero"/>
        <c:crossBetween val="midCat"/>
      </c:valAx>
      <c:spPr>
        <a:noFill/>
        <a:ln w="9360">
          <a:solidFill>
            <a:srgbClr val="878787"/>
          </a:solidFill>
          <a:round/>
        </a:ln>
      </c:spPr>
    </c:plotArea>
    <c:legend>
      <c:legendPos val="r"/>
      <c:overlay val="0"/>
      <c:spPr>
        <a:noFill/>
        <a:ln>
          <a:noFill/>
        </a:ln>
      </c:spPr>
    </c:legend>
    <c:plotVisOnly val="1"/>
    <c:dispBlanksAs val="gap"/>
  </c:chart>
  <c:spPr>
    <a:solidFill>
      <a:srgbClr val="ffffff"/>
    </a:solidFill>
    <a:ln>
      <a:solidFill>
        <a:srgbClr val="ffffff"/>
      </a:solid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en-US"/>
  <c:roundedCorners val="0"/>
  <c:chart>
    <c:view3D>
      <c:rotX val="15"/>
      <c:rotY val="20"/>
      <c:rAngAx val="1"/>
      <c:perspective val="30"/>
    </c:view3D>
    <c:floor>
      <c:spPr>
        <a:noFill/>
        <a:ln w="9360">
          <a:solidFill>
            <a:srgbClr val="878787"/>
          </a:solidFill>
          <a:round/>
        </a:ln>
      </c:spPr>
    </c:floor>
    <c:backWall>
      <c:spPr>
        <a:noFill/>
        <a:ln w="9360">
          <a:solidFill>
            <a:srgbClr val="878787"/>
          </a:solidFill>
          <a:round/>
        </a:ln>
      </c:spPr>
    </c:backWall>
    <c:plotArea>
      <c:bar3DChart>
        <c:barDir val="col"/>
        <c:grouping val="clustered"/>
        <c:varyColors val="0"/>
        <c:ser>
          <c:idx val="0"/>
          <c:order val="0"/>
          <c:tx>
            <c:strRef>
              <c:f>label 0</c:f>
              <c:strCache>
                <c:ptCount val="1"/>
                <c:pt idx="0">
                  <c:v>Да</c:v>
                </c:pt>
              </c:strCache>
            </c:strRef>
          </c:tx>
          <c:spPr>
            <a:solidFill>
              <a:srgbClr val="4f81bd"/>
            </a:solidFill>
            <a:ln>
              <a:noFill/>
            </a:ln>
          </c:spPr>
          <c:invertIfNegative val="0"/>
          <c:dLbls>
            <c:showLegendKey val="0"/>
            <c:showVal val="0"/>
            <c:showCatName val="0"/>
            <c:showSerName val="0"/>
            <c:showPercent val="0"/>
            <c:showLeaderLines val="0"/>
          </c:dLbls>
          <c:cat>
            <c:strRef>
              <c:f>categories</c:f>
              <c:strCache>
                <c:ptCount val="1"/>
                <c:pt idx="0">
                  <c:v>Вопрос 8</c:v>
                </c:pt>
              </c:strCache>
            </c:strRef>
          </c:cat>
          <c:val>
            <c:numRef>
              <c:f>0</c:f>
              <c:numCache>
                <c:formatCode>General</c:formatCode>
                <c:ptCount val="1"/>
                <c:pt idx="0">
                  <c:v>0.8</c:v>
                </c:pt>
              </c:numCache>
            </c:numRef>
          </c:val>
        </c:ser>
        <c:ser>
          <c:idx val="1"/>
          <c:order val="1"/>
          <c:tx>
            <c:strRef>
              <c:f>label 1</c:f>
              <c:strCache>
                <c:ptCount val="1"/>
                <c:pt idx="0">
                  <c:v>Нет</c:v>
                </c:pt>
              </c:strCache>
            </c:strRef>
          </c:tx>
          <c:spPr>
            <a:solidFill>
              <a:srgbClr val="c0504d"/>
            </a:solidFill>
            <a:ln>
              <a:noFill/>
            </a:ln>
          </c:spPr>
          <c:invertIfNegative val="0"/>
          <c:dLbls>
            <c:showLegendKey val="0"/>
            <c:showVal val="0"/>
            <c:showCatName val="0"/>
            <c:showSerName val="0"/>
            <c:showPercent val="0"/>
            <c:showLeaderLines val="0"/>
          </c:dLbls>
          <c:cat>
            <c:strRef>
              <c:f>categories</c:f>
              <c:strCache>
                <c:ptCount val="1"/>
                <c:pt idx="0">
                  <c:v>Вопрос 8</c:v>
                </c:pt>
              </c:strCache>
            </c:strRef>
          </c:cat>
          <c:val>
            <c:numRef>
              <c:f>1</c:f>
              <c:numCache>
                <c:formatCode>General</c:formatCode>
                <c:ptCount val="1"/>
                <c:pt idx="0">
                  <c:v>0.2</c:v>
                </c:pt>
              </c:numCache>
            </c:numRef>
          </c:val>
        </c:ser>
        <c:gapWidth val="150"/>
        <c:shape val="box"/>
        <c:axId val="36430061"/>
        <c:axId val="79873731"/>
        <c:axId val="0"/>
      </c:bar3DChart>
      <c:catAx>
        <c:axId val="36430061"/>
        <c:scaling>
          <c:orientation val="minMax"/>
        </c:scaling>
        <c:delete val="0"/>
        <c:axPos val="b"/>
        <c:numFmt formatCode="DD/MM/YYYY" sourceLinked="1"/>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79873731"/>
        <c:crosses val="autoZero"/>
        <c:auto val="1"/>
        <c:lblAlgn val="ctr"/>
        <c:lblOffset val="100"/>
      </c:catAx>
      <c:valAx>
        <c:axId val="79873731"/>
        <c:scaling>
          <c:orientation val="minMax"/>
        </c:scaling>
        <c:delete val="0"/>
        <c:axPos val="l"/>
        <c:majorGridlines>
          <c:spPr>
            <a:ln w="9360">
              <a:solidFill>
                <a:srgbClr val="878787"/>
              </a:solidFill>
              <a:round/>
            </a:ln>
          </c:spPr>
        </c:majorGridlines>
        <c:numFmt formatCode="0%" sourceLinked="0"/>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36430061"/>
        <c:crosses val="autoZero"/>
        <c:crossBetween val="midCat"/>
      </c:valAx>
      <c:spPr>
        <a:noFill/>
        <a:ln w="9360">
          <a:solidFill>
            <a:srgbClr val="878787"/>
          </a:solidFill>
          <a:round/>
        </a:ln>
      </c:spPr>
    </c:plotArea>
    <c:legend>
      <c:legendPos val="r"/>
      <c:overlay val="0"/>
      <c:spPr>
        <a:noFill/>
        <a:ln>
          <a:noFill/>
        </a:ln>
      </c:spPr>
    </c:legend>
    <c:plotVisOnly val="1"/>
    <c:dispBlanksAs val="gap"/>
  </c:chart>
  <c:spPr>
    <a:solidFill>
      <a:srgbClr val="ffffff"/>
    </a:solidFill>
    <a:ln>
      <a:solidFill>
        <a:srgbClr val="ffffff"/>
      </a:solid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en-US"/>
  <c:roundedCorners val="0"/>
  <c:chart>
    <c:view3D>
      <c:rotX val="15"/>
      <c:rotY val="20"/>
      <c:rAngAx val="1"/>
      <c:perspective val="30"/>
    </c:view3D>
    <c:floor>
      <c:spPr>
        <a:noFill/>
        <a:ln w="9360">
          <a:solidFill>
            <a:srgbClr val="878787"/>
          </a:solidFill>
          <a:round/>
        </a:ln>
      </c:spPr>
    </c:floor>
    <c:backWall>
      <c:spPr>
        <a:noFill/>
        <a:ln w="9360">
          <a:solidFill>
            <a:srgbClr val="878787"/>
          </a:solidFill>
          <a:round/>
        </a:ln>
      </c:spPr>
    </c:backWall>
    <c:plotArea>
      <c:bar3DChart>
        <c:barDir val="col"/>
        <c:grouping val="clustered"/>
        <c:varyColors val="0"/>
        <c:ser>
          <c:idx val="0"/>
          <c:order val="0"/>
          <c:tx>
            <c:strRef>
              <c:f>label 0</c:f>
              <c:strCache>
                <c:ptCount val="1"/>
                <c:pt idx="0">
                  <c:v>Курение</c:v>
                </c:pt>
              </c:strCache>
            </c:strRef>
          </c:tx>
          <c:spPr>
            <a:solidFill>
              <a:srgbClr val="4f81bd"/>
            </a:solidFill>
            <a:ln>
              <a:noFill/>
            </a:ln>
          </c:spPr>
          <c:invertIfNegative val="0"/>
          <c:dLbls>
            <c:showLegendKey val="0"/>
            <c:showVal val="0"/>
            <c:showCatName val="0"/>
            <c:showSerName val="0"/>
            <c:showPercent val="0"/>
            <c:showLeaderLines val="0"/>
          </c:dLbls>
          <c:cat>
            <c:strRef>
              <c:f>categories</c:f>
              <c:strCache>
                <c:ptCount val="1"/>
                <c:pt idx="0">
                  <c:v>Вопрос 9</c:v>
                </c:pt>
              </c:strCache>
            </c:strRef>
          </c:cat>
          <c:val>
            <c:numRef>
              <c:f>0</c:f>
              <c:numCache>
                <c:formatCode>General</c:formatCode>
                <c:ptCount val="1"/>
                <c:pt idx="0">
                  <c:v>0.824</c:v>
                </c:pt>
              </c:numCache>
            </c:numRef>
          </c:val>
        </c:ser>
        <c:ser>
          <c:idx val="1"/>
          <c:order val="1"/>
          <c:tx>
            <c:strRef>
              <c:f>label 1</c:f>
              <c:strCache>
                <c:ptCount val="1"/>
                <c:pt idx="0">
                  <c:v>Наркотики</c:v>
                </c:pt>
              </c:strCache>
            </c:strRef>
          </c:tx>
          <c:spPr>
            <a:solidFill>
              <a:srgbClr val="c0504d"/>
            </a:solidFill>
            <a:ln>
              <a:noFill/>
            </a:ln>
          </c:spPr>
          <c:invertIfNegative val="0"/>
          <c:dLbls>
            <c:showLegendKey val="0"/>
            <c:showVal val="0"/>
            <c:showCatName val="0"/>
            <c:showSerName val="0"/>
            <c:showPercent val="0"/>
            <c:showLeaderLines val="0"/>
          </c:dLbls>
          <c:cat>
            <c:strRef>
              <c:f>categories</c:f>
              <c:strCache>
                <c:ptCount val="1"/>
                <c:pt idx="0">
                  <c:v>Вопрос 9</c:v>
                </c:pt>
              </c:strCache>
            </c:strRef>
          </c:cat>
          <c:val>
            <c:numRef>
              <c:f>1</c:f>
              <c:numCache>
                <c:formatCode>General</c:formatCode>
                <c:ptCount val="1"/>
                <c:pt idx="0">
                  <c:v>0</c:v>
                </c:pt>
              </c:numCache>
            </c:numRef>
          </c:val>
        </c:ser>
        <c:ser>
          <c:idx val="2"/>
          <c:order val="2"/>
          <c:tx>
            <c:strRef>
              <c:f>label 2</c:f>
              <c:strCache>
                <c:ptCount val="1"/>
                <c:pt idx="0">
                  <c:v>Алкоголь</c:v>
                </c:pt>
              </c:strCache>
            </c:strRef>
          </c:tx>
          <c:spPr>
            <a:solidFill>
              <a:srgbClr val="9bbb59"/>
            </a:solidFill>
            <a:ln>
              <a:noFill/>
            </a:ln>
          </c:spPr>
          <c:invertIfNegative val="0"/>
          <c:dLbls>
            <c:showLegendKey val="0"/>
            <c:showVal val="0"/>
            <c:showCatName val="0"/>
            <c:showSerName val="0"/>
            <c:showPercent val="0"/>
            <c:showLeaderLines val="0"/>
          </c:dLbls>
          <c:cat>
            <c:strRef>
              <c:f>categories</c:f>
              <c:strCache>
                <c:ptCount val="1"/>
                <c:pt idx="0">
                  <c:v>Вопрос 9</c:v>
                </c:pt>
              </c:strCache>
            </c:strRef>
          </c:cat>
          <c:val>
            <c:numRef>
              <c:f>2</c:f>
              <c:numCache>
                <c:formatCode>General</c:formatCode>
                <c:ptCount val="1"/>
                <c:pt idx="0">
                  <c:v>0.248</c:v>
                </c:pt>
              </c:numCache>
            </c:numRef>
          </c:val>
        </c:ser>
        <c:gapWidth val="150"/>
        <c:shape val="box"/>
        <c:axId val="57203132"/>
        <c:axId val="73267039"/>
        <c:axId val="0"/>
      </c:bar3DChart>
      <c:catAx>
        <c:axId val="57203132"/>
        <c:scaling>
          <c:orientation val="minMax"/>
        </c:scaling>
        <c:delete val="0"/>
        <c:axPos val="b"/>
        <c:numFmt formatCode="DD/MM/YYYY" sourceLinked="1"/>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73267039"/>
        <c:crosses val="autoZero"/>
        <c:auto val="1"/>
        <c:lblAlgn val="ctr"/>
        <c:lblOffset val="100"/>
      </c:catAx>
      <c:valAx>
        <c:axId val="73267039"/>
        <c:scaling>
          <c:orientation val="minMax"/>
        </c:scaling>
        <c:delete val="0"/>
        <c:axPos val="l"/>
        <c:majorGridlines>
          <c:spPr>
            <a:ln w="9360">
              <a:solidFill>
                <a:srgbClr val="878787"/>
              </a:solidFill>
              <a:round/>
            </a:ln>
          </c:spPr>
        </c:majorGridlines>
        <c:numFmt formatCode="0.00%" sourceLinked="0"/>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57203132"/>
        <c:crosses val="autoZero"/>
        <c:crossBetween val="midCat"/>
      </c:valAx>
      <c:spPr>
        <a:noFill/>
        <a:ln w="9360">
          <a:solidFill>
            <a:srgbClr val="878787"/>
          </a:solidFill>
          <a:round/>
        </a:ln>
      </c:spPr>
    </c:plotArea>
    <c:legend>
      <c:legendPos val="r"/>
      <c:overlay val="0"/>
      <c:spPr>
        <a:noFill/>
        <a:ln>
          <a:noFill/>
        </a:ln>
      </c:spPr>
    </c:legend>
    <c:plotVisOnly val="1"/>
    <c:dispBlanksAs val="gap"/>
  </c:chart>
  <c:spPr>
    <a:solidFill>
      <a:srgbClr val="ffffff"/>
    </a:solidFill>
    <a:ln>
      <a:solidFill>
        <a:srgbClr val="ffffff"/>
      </a:solid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en-US"/>
  <c:roundedCorners val="0"/>
  <c:chart>
    <c:view3D>
      <c:rotX val="15"/>
      <c:rotY val="20"/>
      <c:rAngAx val="1"/>
      <c:perspective val="30"/>
    </c:view3D>
    <c:floor>
      <c:spPr>
        <a:noFill/>
        <a:ln w="9360">
          <a:solidFill>
            <a:srgbClr val="878787"/>
          </a:solidFill>
          <a:round/>
        </a:ln>
      </c:spPr>
    </c:floor>
    <c:backWall>
      <c:spPr>
        <a:noFill/>
        <a:ln w="9360">
          <a:solidFill>
            <a:srgbClr val="878787"/>
          </a:solidFill>
          <a:round/>
        </a:ln>
      </c:spPr>
    </c:backWall>
    <c:plotArea>
      <c:bar3DChart>
        <c:barDir val="col"/>
        <c:grouping val="clustered"/>
        <c:varyColors val="0"/>
        <c:ser>
          <c:idx val="0"/>
          <c:order val="0"/>
          <c:tx>
            <c:strRef>
              <c:f>label 0</c:f>
              <c:strCache>
                <c:ptCount val="1"/>
                <c:pt idx="0">
                  <c:v>Курящие родители</c:v>
                </c:pt>
              </c:strCache>
            </c:strRef>
          </c:tx>
          <c:spPr>
            <a:solidFill>
              <a:srgbClr val="4f81bd"/>
            </a:solidFill>
            <a:ln>
              <a:noFill/>
            </a:ln>
          </c:spPr>
          <c:invertIfNegative val="0"/>
          <c:dLbls>
            <c:showLegendKey val="0"/>
            <c:showVal val="0"/>
            <c:showCatName val="0"/>
            <c:showSerName val="0"/>
            <c:showPercent val="0"/>
            <c:showLeaderLines val="0"/>
          </c:dLbls>
          <c:cat>
            <c:strRef>
              <c:f>categories</c:f>
              <c:strCache>
                <c:ptCount val="1"/>
                <c:pt idx="0">
                  <c:v>Вопрос 10</c:v>
                </c:pt>
              </c:strCache>
            </c:strRef>
          </c:cat>
          <c:val>
            <c:numRef>
              <c:f>0</c:f>
              <c:numCache>
                <c:formatCode>General</c:formatCode>
                <c:ptCount val="1"/>
                <c:pt idx="0">
                  <c:v>0.727</c:v>
                </c:pt>
              </c:numCache>
            </c:numRef>
          </c:val>
        </c:ser>
        <c:ser>
          <c:idx val="1"/>
          <c:order val="1"/>
          <c:tx>
            <c:strRef>
              <c:f>label 1</c:f>
              <c:strCache>
                <c:ptCount val="1"/>
                <c:pt idx="0">
                  <c:v>Пьющие </c:v>
                </c:pt>
              </c:strCache>
            </c:strRef>
          </c:tx>
          <c:spPr>
            <a:solidFill>
              <a:srgbClr val="c0504d"/>
            </a:solidFill>
            <a:ln>
              <a:noFill/>
            </a:ln>
          </c:spPr>
          <c:invertIfNegative val="0"/>
          <c:dLbls>
            <c:showLegendKey val="0"/>
            <c:showVal val="0"/>
            <c:showCatName val="0"/>
            <c:showSerName val="0"/>
            <c:showPercent val="0"/>
            <c:showLeaderLines val="0"/>
          </c:dLbls>
          <c:cat>
            <c:strRef>
              <c:f>categories</c:f>
              <c:strCache>
                <c:ptCount val="1"/>
                <c:pt idx="0">
                  <c:v>Вопрос 10</c:v>
                </c:pt>
              </c:strCache>
            </c:strRef>
          </c:cat>
          <c:val>
            <c:numRef>
              <c:f>1</c:f>
              <c:numCache>
                <c:formatCode>General</c:formatCode>
                <c:ptCount val="1"/>
                <c:pt idx="0">
                  <c:v>0.277</c:v>
                </c:pt>
              </c:numCache>
            </c:numRef>
          </c:val>
        </c:ser>
        <c:ser>
          <c:idx val="2"/>
          <c:order val="2"/>
          <c:tx>
            <c:strRef>
              <c:f>label 2</c:f>
              <c:strCache>
                <c:ptCount val="1"/>
                <c:pt idx="0">
                  <c:v>Употребляющие наркотические вещества </c:v>
                </c:pt>
              </c:strCache>
            </c:strRef>
          </c:tx>
          <c:spPr>
            <a:solidFill>
              <a:srgbClr val="9bbb59"/>
            </a:solidFill>
            <a:ln>
              <a:noFill/>
            </a:ln>
          </c:spPr>
          <c:invertIfNegative val="0"/>
          <c:dLbls>
            <c:showLegendKey val="0"/>
            <c:showVal val="0"/>
            <c:showCatName val="0"/>
            <c:showSerName val="0"/>
            <c:showPercent val="0"/>
            <c:showLeaderLines val="0"/>
          </c:dLbls>
          <c:cat>
            <c:strRef>
              <c:f>categories</c:f>
              <c:strCache>
                <c:ptCount val="1"/>
                <c:pt idx="0">
                  <c:v>Вопрос 10</c:v>
                </c:pt>
              </c:strCache>
            </c:strRef>
          </c:cat>
          <c:val>
            <c:numRef>
              <c:f>2</c:f>
              <c:numCache>
                <c:formatCode>General</c:formatCode>
                <c:ptCount val="1"/>
                <c:pt idx="0">
                  <c:v>0.012</c:v>
                </c:pt>
              </c:numCache>
            </c:numRef>
          </c:val>
        </c:ser>
        <c:ser>
          <c:idx val="3"/>
          <c:order val="3"/>
          <c:tx>
            <c:strRef>
              <c:f>label 3</c:f>
              <c:strCache>
                <c:ptCount val="1"/>
                <c:pt idx="0">
                  <c:v>Нет вредных привычек </c:v>
                </c:pt>
              </c:strCache>
            </c:strRef>
          </c:tx>
          <c:spPr>
            <a:solidFill>
              <a:srgbClr val="8064a2"/>
            </a:solidFill>
            <a:ln>
              <a:noFill/>
            </a:ln>
          </c:spPr>
          <c:invertIfNegative val="0"/>
          <c:dLbls>
            <c:showLegendKey val="0"/>
            <c:showVal val="0"/>
            <c:showCatName val="0"/>
            <c:showSerName val="0"/>
            <c:showPercent val="0"/>
            <c:showLeaderLines val="0"/>
          </c:dLbls>
          <c:cat>
            <c:strRef>
              <c:f>categories</c:f>
              <c:strCache>
                <c:ptCount val="1"/>
                <c:pt idx="0">
                  <c:v>Вопрос 10</c:v>
                </c:pt>
              </c:strCache>
            </c:strRef>
          </c:cat>
          <c:val>
            <c:numRef>
              <c:f>3</c:f>
              <c:numCache>
                <c:formatCode>General</c:formatCode>
                <c:ptCount val="1"/>
                <c:pt idx="0">
                  <c:v>0.144</c:v>
                </c:pt>
              </c:numCache>
            </c:numRef>
          </c:val>
        </c:ser>
        <c:gapWidth val="150"/>
        <c:shape val="box"/>
        <c:axId val="79711814"/>
        <c:axId val="74480389"/>
        <c:axId val="0"/>
      </c:bar3DChart>
      <c:catAx>
        <c:axId val="79711814"/>
        <c:scaling>
          <c:orientation val="minMax"/>
        </c:scaling>
        <c:delete val="0"/>
        <c:axPos val="b"/>
        <c:numFmt formatCode="DD/MM/YYYY" sourceLinked="1"/>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74480389"/>
        <c:crosses val="autoZero"/>
        <c:auto val="1"/>
        <c:lblAlgn val="ctr"/>
        <c:lblOffset val="100"/>
      </c:catAx>
      <c:valAx>
        <c:axId val="74480389"/>
        <c:scaling>
          <c:orientation val="minMax"/>
        </c:scaling>
        <c:delete val="0"/>
        <c:axPos val="l"/>
        <c:majorGridlines>
          <c:spPr>
            <a:ln w="9360">
              <a:solidFill>
                <a:srgbClr val="878787"/>
              </a:solidFill>
              <a:round/>
            </a:ln>
          </c:spPr>
        </c:majorGridlines>
        <c:numFmt formatCode="0.00%" sourceLinked="0"/>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79711814"/>
        <c:crosses val="autoZero"/>
        <c:crossBetween val="midCat"/>
      </c:valAx>
      <c:spPr>
        <a:noFill/>
        <a:ln w="9360">
          <a:solidFill>
            <a:srgbClr val="878787"/>
          </a:solidFill>
          <a:round/>
        </a:ln>
      </c:spPr>
    </c:plotArea>
    <c:legend>
      <c:legendPos val="r"/>
      <c:overlay val="0"/>
      <c:spPr>
        <a:noFill/>
        <a:ln>
          <a:solidFill>
            <a:srgbClr val="ffffff"/>
          </a:solidFill>
        </a:ln>
      </c:spPr>
    </c:legend>
    <c:plotVisOnly val="1"/>
    <c:dispBlanksAs val="gap"/>
  </c:chart>
  <c:spPr>
    <a:solidFill>
      <a:srgbClr val="ffffff"/>
    </a:solidFill>
    <a:ln>
      <a:solidFill>
        <a:srgbClr val="ffffff"/>
      </a:solidFill>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en-US"/>
  <c:roundedCorners val="0"/>
  <c:chart>
    <c:view3D>
      <c:rotX val="15"/>
      <c:rotY val="20"/>
      <c:rAngAx val="1"/>
      <c:perspective val="30"/>
    </c:view3D>
    <c:floor>
      <c:spPr>
        <a:noFill/>
        <a:ln w="9360">
          <a:solidFill>
            <a:srgbClr val="878787"/>
          </a:solidFill>
          <a:round/>
        </a:ln>
      </c:spPr>
    </c:floor>
    <c:backWall>
      <c:spPr>
        <a:noFill/>
        <a:ln w="9360">
          <a:solidFill>
            <a:srgbClr val="878787"/>
          </a:solidFill>
          <a:round/>
        </a:ln>
      </c:spPr>
    </c:backWall>
    <c:plotArea>
      <c:bar3DChart>
        <c:barDir val="col"/>
        <c:grouping val="clustered"/>
        <c:varyColors val="0"/>
        <c:ser>
          <c:idx val="0"/>
          <c:order val="0"/>
          <c:tx>
            <c:strRef>
              <c:f>label 0</c:f>
              <c:strCache>
                <c:ptCount val="1"/>
                <c:pt idx="0">
                  <c:v>Мальчики</c:v>
                </c:pt>
              </c:strCache>
            </c:strRef>
          </c:tx>
          <c:spPr>
            <a:solidFill>
              <a:srgbClr val="4f81bd"/>
            </a:solidFill>
            <a:ln>
              <a:noFill/>
            </a:ln>
          </c:spPr>
          <c:invertIfNegative val="0"/>
          <c:dLbls>
            <c:showLegendKey val="0"/>
            <c:showVal val="0"/>
            <c:showCatName val="0"/>
            <c:showSerName val="0"/>
            <c:showPercent val="0"/>
            <c:showLeaderLines val="0"/>
          </c:dLbls>
          <c:cat>
            <c:strRef>
              <c:f>categories</c:f>
              <c:strCache>
                <c:ptCount val="1"/>
                <c:pt idx="0">
                  <c:v>Вопрос 11</c:v>
                </c:pt>
              </c:strCache>
            </c:strRef>
          </c:cat>
          <c:val>
            <c:numRef>
              <c:f>0</c:f>
              <c:numCache>
                <c:formatCode>General</c:formatCode>
                <c:ptCount val="1"/>
                <c:pt idx="0">
                  <c:v>0.42</c:v>
                </c:pt>
              </c:numCache>
            </c:numRef>
          </c:val>
        </c:ser>
        <c:ser>
          <c:idx val="1"/>
          <c:order val="1"/>
          <c:tx>
            <c:strRef>
              <c:f>label 1</c:f>
              <c:strCache>
                <c:ptCount val="1"/>
                <c:pt idx="0">
                  <c:v>Девочки</c:v>
                </c:pt>
              </c:strCache>
            </c:strRef>
          </c:tx>
          <c:spPr>
            <a:solidFill>
              <a:srgbClr val="c0504d"/>
            </a:solidFill>
            <a:ln>
              <a:noFill/>
            </a:ln>
          </c:spPr>
          <c:invertIfNegative val="0"/>
          <c:dLbls>
            <c:showLegendKey val="0"/>
            <c:showVal val="0"/>
            <c:showCatName val="0"/>
            <c:showSerName val="0"/>
            <c:showPercent val="0"/>
            <c:showLeaderLines val="0"/>
          </c:dLbls>
          <c:cat>
            <c:strRef>
              <c:f>categories</c:f>
              <c:strCache>
                <c:ptCount val="1"/>
                <c:pt idx="0">
                  <c:v>Вопрос 11</c:v>
                </c:pt>
              </c:strCache>
            </c:strRef>
          </c:cat>
          <c:val>
            <c:numRef>
              <c:f>1</c:f>
              <c:numCache>
                <c:formatCode>General</c:formatCode>
                <c:ptCount val="1"/>
                <c:pt idx="0">
                  <c:v>0.68</c:v>
                </c:pt>
              </c:numCache>
            </c:numRef>
          </c:val>
        </c:ser>
        <c:gapWidth val="150"/>
        <c:shape val="box"/>
        <c:axId val="60785875"/>
        <c:axId val="51924589"/>
        <c:axId val="0"/>
      </c:bar3DChart>
      <c:catAx>
        <c:axId val="60785875"/>
        <c:scaling>
          <c:orientation val="minMax"/>
        </c:scaling>
        <c:delete val="0"/>
        <c:axPos val="b"/>
        <c:numFmt formatCode="DD/MM/YYYY" sourceLinked="1"/>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51924589"/>
        <c:crosses val="autoZero"/>
        <c:auto val="1"/>
        <c:lblAlgn val="ctr"/>
        <c:lblOffset val="100"/>
      </c:catAx>
      <c:valAx>
        <c:axId val="51924589"/>
        <c:scaling>
          <c:orientation val="minMax"/>
        </c:scaling>
        <c:delete val="0"/>
        <c:axPos val="l"/>
        <c:majorGridlines>
          <c:spPr>
            <a:ln w="9360">
              <a:solidFill>
                <a:srgbClr val="878787"/>
              </a:solidFill>
              <a:round/>
            </a:ln>
          </c:spPr>
        </c:majorGridlines>
        <c:numFmt formatCode="0%" sourceLinked="0"/>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60785875"/>
        <c:crosses val="autoZero"/>
        <c:crossBetween val="midCat"/>
      </c:valAx>
      <c:spPr>
        <a:noFill/>
        <a:ln w="9360">
          <a:solidFill>
            <a:srgbClr val="878787"/>
          </a:solidFill>
          <a:round/>
        </a:ln>
      </c:spPr>
    </c:plotArea>
    <c:legend>
      <c:legendPos val="r"/>
      <c:overlay val="0"/>
      <c:spPr>
        <a:noFill/>
        <a:ln>
          <a:noFill/>
        </a:ln>
      </c:spPr>
    </c:legend>
    <c:plotVisOnly val="1"/>
    <c:dispBlanksAs val="gap"/>
  </c:chart>
  <c:spPr>
    <a:solidFill>
      <a:srgbClr val="ffffff"/>
    </a:solidFill>
    <a:ln>
      <a:solidFill>
        <a:srgbClr val="ffffff"/>
      </a:solid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lang val="en-US"/>
  <c:roundedCorners val="0"/>
  <c:chart>
    <c:view3D>
      <c:rotX val="15"/>
      <c:rotY val="20"/>
      <c:rAngAx val="1"/>
      <c:perspective val="30"/>
    </c:view3D>
    <c:floor>
      <c:spPr>
        <a:noFill/>
        <a:ln w="9360">
          <a:solidFill>
            <a:srgbClr val="878787"/>
          </a:solidFill>
          <a:round/>
        </a:ln>
      </c:spPr>
    </c:floor>
    <c:backWall>
      <c:spPr>
        <a:noFill/>
        <a:ln w="25560">
          <a:noFill/>
        </a:ln>
      </c:spPr>
    </c:backWall>
    <c:plotArea>
      <c:bar3DChart>
        <c:barDir val="col"/>
        <c:grouping val="clustered"/>
        <c:varyColors val="0"/>
        <c:ser>
          <c:idx val="0"/>
          <c:order val="0"/>
          <c:tx>
            <c:strRef>
              <c:f>label 0</c:f>
              <c:strCache>
                <c:ptCount val="1"/>
                <c:pt idx="0">
                  <c:v>14-15 лет</c:v>
                </c:pt>
              </c:strCache>
            </c:strRef>
          </c:tx>
          <c:spPr>
            <a:solidFill>
              <a:srgbClr val="4f81bd"/>
            </a:solidFill>
            <a:ln>
              <a:noFill/>
            </a:ln>
          </c:spPr>
          <c:invertIfNegative val="0"/>
          <c:dLbls>
            <c:showLegendKey val="0"/>
            <c:showVal val="0"/>
            <c:showCatName val="0"/>
            <c:showSerName val="0"/>
            <c:showPercent val="0"/>
            <c:showLeaderLines val="0"/>
          </c:dLbls>
          <c:cat>
            <c:strRef>
              <c:f>categories</c:f>
              <c:strCache>
                <c:ptCount val="1"/>
                <c:pt idx="0">
                  <c:v>Вопрос 12</c:v>
                </c:pt>
              </c:strCache>
            </c:strRef>
          </c:cat>
          <c:val>
            <c:numRef>
              <c:f>0</c:f>
              <c:numCache>
                <c:formatCode>General</c:formatCode>
                <c:ptCount val="1"/>
                <c:pt idx="0">
                  <c:v>0.581</c:v>
                </c:pt>
              </c:numCache>
            </c:numRef>
          </c:val>
        </c:ser>
        <c:ser>
          <c:idx val="1"/>
          <c:order val="1"/>
          <c:tx>
            <c:strRef>
              <c:f>label 1</c:f>
              <c:strCache>
                <c:ptCount val="1"/>
                <c:pt idx="0">
                  <c:v>16-17 лет</c:v>
                </c:pt>
              </c:strCache>
            </c:strRef>
          </c:tx>
          <c:spPr>
            <a:solidFill>
              <a:srgbClr val="c0504d"/>
            </a:solidFill>
            <a:ln>
              <a:noFill/>
            </a:ln>
          </c:spPr>
          <c:invertIfNegative val="0"/>
          <c:dLbls>
            <c:showLegendKey val="0"/>
            <c:showVal val="0"/>
            <c:showCatName val="0"/>
            <c:showSerName val="0"/>
            <c:showPercent val="0"/>
            <c:showLeaderLines val="0"/>
          </c:dLbls>
          <c:cat>
            <c:strRef>
              <c:f>categories</c:f>
              <c:strCache>
                <c:ptCount val="1"/>
                <c:pt idx="0">
                  <c:v>Вопрос 12</c:v>
                </c:pt>
              </c:strCache>
            </c:strRef>
          </c:cat>
          <c:val>
            <c:numRef>
              <c:f>1</c:f>
              <c:numCache>
                <c:formatCode>General</c:formatCode>
                <c:ptCount val="1"/>
                <c:pt idx="0">
                  <c:v>0.419</c:v>
                </c:pt>
              </c:numCache>
            </c:numRef>
          </c:val>
        </c:ser>
        <c:gapWidth val="150"/>
        <c:shape val="box"/>
        <c:axId val="46869225"/>
        <c:axId val="78674595"/>
        <c:axId val="0"/>
      </c:bar3DChart>
      <c:catAx>
        <c:axId val="46869225"/>
        <c:scaling>
          <c:orientation val="minMax"/>
        </c:scaling>
        <c:delete val="0"/>
        <c:axPos val="b"/>
        <c:numFmt formatCode="DD/MM/YYYY" sourceLinked="1"/>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78674595"/>
        <c:crosses val="autoZero"/>
        <c:auto val="1"/>
        <c:lblAlgn val="ctr"/>
        <c:lblOffset val="100"/>
      </c:catAx>
      <c:valAx>
        <c:axId val="78674595"/>
        <c:scaling>
          <c:orientation val="minMax"/>
        </c:scaling>
        <c:delete val="0"/>
        <c:axPos val="l"/>
        <c:majorGridlines>
          <c:spPr>
            <a:ln w="9360">
              <a:solidFill>
                <a:srgbClr val="878787"/>
              </a:solidFill>
              <a:round/>
            </a:ln>
          </c:spPr>
        </c:majorGridlines>
        <c:numFmt formatCode="0.00%" sourceLinked="0"/>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46869225"/>
        <c:crosses val="autoZero"/>
        <c:crossBetween val="midCat"/>
      </c:valAx>
      <c:spPr>
        <a:noFill/>
        <a:ln w="25560">
          <a:noFill/>
        </a:ln>
      </c:spPr>
    </c:plotArea>
    <c:legend>
      <c:legendPos val="r"/>
      <c:overlay val="0"/>
      <c:spPr>
        <a:noFill/>
        <a:ln>
          <a:noFill/>
        </a:ln>
      </c:spPr>
    </c:legend>
    <c:plotVisOnly val="1"/>
    <c:dispBlanksAs val="gap"/>
  </c:chart>
  <c:spPr>
    <a:solidFill>
      <a:srgbClr val="ffffff"/>
    </a:solidFill>
    <a:ln>
      <a:solidFill>
        <a:srgbClr val="ffffff"/>
      </a:solid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4FE29-203A-4EDA-8D1D-CB9BCE7AA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Application>LibreOffice/5.1.0.3$Windows_x86 LibreOffice_project/5e3e00a007d9b3b6efb6797a8b8e57b51ab1f737</Application>
  <Pages>22</Pages>
  <Words>4587</Words>
  <Characters>32451</Characters>
  <CharactersWithSpaces>37323</CharactersWithSpaces>
  <Paragraphs>358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2017-02-28T18:33:00Z</dcterms:created>
  <dc:creator>Mamonьki</dc:creator>
  <dc:description/>
  <dc:language>ru-RU</dc:language>
  <cp:lastModifiedBy/>
  <dcterms:modified xsi:type="dcterms:W3CDTF">2017-05-14T17:44:51Z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