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xlsx" ContentType="application/vnd.openxmlformats-officedocument.spreadsheetml.sheet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90EC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Результаты опытно-экспериментальной работы по формированию интереса к уроку физической культуры в младшем школьном возрасте посредством подвижных игр</w:t>
      </w: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3714F9" w:rsidRPr="00390EC6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0E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контрольном этапе эксперимента была проведена повторная диагностика с целью определения динамики показателей по заявленным ранее критериям: </w:t>
      </w:r>
    </w:p>
    <w:p w:rsidR="003714F9" w:rsidRPr="00390EC6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0EC6">
        <w:rPr>
          <w:rFonts w:ascii="Times New Roman" w:eastAsia="Calibri" w:hAnsi="Times New Roman" w:cs="Times New Roman"/>
          <w:sz w:val="28"/>
          <w:szCs w:val="28"/>
          <w:lang w:eastAsia="ru-RU"/>
        </w:rPr>
        <w:t>а) Когнитивный;</w:t>
      </w:r>
    </w:p>
    <w:p w:rsidR="003714F9" w:rsidRPr="00390EC6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0EC6">
        <w:rPr>
          <w:rFonts w:ascii="Times New Roman" w:eastAsia="Calibri" w:hAnsi="Times New Roman" w:cs="Times New Roman"/>
          <w:sz w:val="28"/>
          <w:szCs w:val="28"/>
          <w:lang w:eastAsia="ru-RU"/>
        </w:rPr>
        <w:t>б) Мотивационно-потребностный;</w:t>
      </w: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0EC6">
        <w:rPr>
          <w:rFonts w:ascii="Times New Roman" w:eastAsia="Calibri" w:hAnsi="Times New Roman" w:cs="Times New Roman"/>
          <w:sz w:val="28"/>
          <w:szCs w:val="28"/>
          <w:lang w:eastAsia="ru-RU"/>
        </w:rPr>
        <w:t>в) Деятельностный;</w:t>
      </w: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результате вы можете видеть как изменилось отношение к урокам физической культуры у детей в экспериментальном и контрольном классе.</w:t>
      </w:r>
    </w:p>
    <w:p w:rsidR="003714F9" w:rsidRDefault="003714F9" w:rsidP="003714F9">
      <w:pPr>
        <w:spacing w:after="0" w:line="360" w:lineRule="auto"/>
        <w:jc w:val="right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Таблица 7.</w:t>
      </w:r>
    </w:p>
    <w:p w:rsidR="003714F9" w:rsidRDefault="003714F9" w:rsidP="003714F9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775B4B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Результаты оценки когнитивного  критерия на констатирующем этапе эксперимента в экспериментальном классе (</w:t>
      </w:r>
      <w:r w:rsidRPr="00775B4B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n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=22</w:t>
      </w:r>
      <w:r w:rsidRPr="00775B4B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человека)</w:t>
      </w:r>
    </w:p>
    <w:tbl>
      <w:tblPr>
        <w:tblStyle w:val="1"/>
        <w:tblW w:w="0" w:type="auto"/>
        <w:jc w:val="center"/>
        <w:tblInd w:w="-1499" w:type="dxa"/>
        <w:tblLook w:val="04A0" w:firstRow="1" w:lastRow="0" w:firstColumn="1" w:lastColumn="0" w:noHBand="0" w:noVBand="1"/>
      </w:tblPr>
      <w:tblGrid>
        <w:gridCol w:w="3390"/>
        <w:gridCol w:w="2446"/>
        <w:gridCol w:w="3226"/>
      </w:tblGrid>
      <w:tr w:rsidR="003714F9" w:rsidRPr="00936C86" w:rsidTr="0027102C">
        <w:trPr>
          <w:jc w:val="center"/>
        </w:trPr>
        <w:tc>
          <w:tcPr>
            <w:tcW w:w="3390" w:type="dxa"/>
          </w:tcPr>
          <w:p w:rsidR="003714F9" w:rsidRPr="00936C86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936C86">
              <w:rPr>
                <w:rFonts w:ascii="Times New Roman" w:hAnsi="Times New Roman"/>
                <w:b/>
                <w:sz w:val="28"/>
                <w:szCs w:val="28"/>
              </w:rPr>
              <w:t>Уровни</w:t>
            </w:r>
          </w:p>
        </w:tc>
        <w:tc>
          <w:tcPr>
            <w:tcW w:w="2446" w:type="dxa"/>
          </w:tcPr>
          <w:p w:rsidR="003714F9" w:rsidRPr="00936C86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936C86">
              <w:rPr>
                <w:rFonts w:ascii="Times New Roman" w:hAnsi="Times New Roman"/>
                <w:b/>
                <w:sz w:val="28"/>
                <w:szCs w:val="28"/>
              </w:rPr>
              <w:t>До эксперимента(%)</w:t>
            </w:r>
          </w:p>
        </w:tc>
        <w:tc>
          <w:tcPr>
            <w:tcW w:w="3226" w:type="dxa"/>
          </w:tcPr>
          <w:p w:rsidR="003714F9" w:rsidRPr="00936C86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936C86">
              <w:rPr>
                <w:rFonts w:ascii="Times New Roman" w:hAnsi="Times New Roman"/>
                <w:b/>
                <w:sz w:val="28"/>
                <w:szCs w:val="28"/>
              </w:rPr>
              <w:t>После эксперимента(%)</w:t>
            </w:r>
          </w:p>
        </w:tc>
      </w:tr>
      <w:tr w:rsidR="003714F9" w:rsidRPr="00936C86" w:rsidTr="0027102C">
        <w:trPr>
          <w:jc w:val="center"/>
        </w:trPr>
        <w:tc>
          <w:tcPr>
            <w:tcW w:w="3390" w:type="dxa"/>
          </w:tcPr>
          <w:p w:rsidR="003714F9" w:rsidRPr="00936C86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936C86">
              <w:rPr>
                <w:rFonts w:ascii="Times New Roman" w:hAnsi="Times New Roman"/>
                <w:sz w:val="28"/>
                <w:szCs w:val="28"/>
              </w:rPr>
              <w:t xml:space="preserve">Высокий </w:t>
            </w:r>
          </w:p>
        </w:tc>
        <w:tc>
          <w:tcPr>
            <w:tcW w:w="2446" w:type="dxa"/>
          </w:tcPr>
          <w:p w:rsidR="003714F9" w:rsidRPr="00936C86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226" w:type="dxa"/>
          </w:tcPr>
          <w:p w:rsidR="003714F9" w:rsidRPr="00936C86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</w:tr>
      <w:tr w:rsidR="003714F9" w:rsidRPr="00936C86" w:rsidTr="0027102C">
        <w:trPr>
          <w:jc w:val="center"/>
        </w:trPr>
        <w:tc>
          <w:tcPr>
            <w:tcW w:w="3390" w:type="dxa"/>
          </w:tcPr>
          <w:p w:rsidR="003714F9" w:rsidRPr="00936C86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936C86">
              <w:rPr>
                <w:rFonts w:ascii="Times New Roman" w:hAnsi="Times New Roman"/>
                <w:sz w:val="28"/>
                <w:szCs w:val="28"/>
              </w:rPr>
              <w:t>Средний</w:t>
            </w:r>
          </w:p>
        </w:tc>
        <w:tc>
          <w:tcPr>
            <w:tcW w:w="2446" w:type="dxa"/>
          </w:tcPr>
          <w:p w:rsidR="003714F9" w:rsidRPr="00936C86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3226" w:type="dxa"/>
          </w:tcPr>
          <w:p w:rsidR="003714F9" w:rsidRPr="00936C86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3714F9" w:rsidRPr="00936C86" w:rsidTr="0027102C">
        <w:trPr>
          <w:jc w:val="center"/>
        </w:trPr>
        <w:tc>
          <w:tcPr>
            <w:tcW w:w="3390" w:type="dxa"/>
          </w:tcPr>
          <w:p w:rsidR="003714F9" w:rsidRPr="00936C86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936C86">
              <w:rPr>
                <w:rFonts w:ascii="Times New Roman" w:hAnsi="Times New Roman"/>
                <w:sz w:val="28"/>
                <w:szCs w:val="28"/>
              </w:rPr>
              <w:t xml:space="preserve">Низкий </w:t>
            </w:r>
          </w:p>
        </w:tc>
        <w:tc>
          <w:tcPr>
            <w:tcW w:w="2446" w:type="dxa"/>
          </w:tcPr>
          <w:p w:rsidR="003714F9" w:rsidRPr="00936C86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226" w:type="dxa"/>
          </w:tcPr>
          <w:p w:rsidR="003714F9" w:rsidRPr="00936C86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</w:tbl>
    <w:p w:rsidR="003714F9" w:rsidRDefault="003714F9" w:rsidP="003714F9">
      <w:pPr>
        <w:spacing w:after="0" w:line="360" w:lineRule="auto"/>
        <w:jc w:val="right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3714F9" w:rsidRDefault="003714F9" w:rsidP="003714F9">
      <w:pPr>
        <w:spacing w:after="0" w:line="360" w:lineRule="auto"/>
        <w:jc w:val="right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Таблица 8.</w:t>
      </w:r>
    </w:p>
    <w:p w:rsidR="003714F9" w:rsidRPr="008440A2" w:rsidRDefault="003714F9" w:rsidP="003714F9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40A2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Результаты оценки  когнитивного критерия на констатирующем этапе эксперимента в контрольном классе (</w:t>
      </w:r>
      <w:r w:rsidRPr="008440A2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n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=19</w:t>
      </w:r>
      <w:r w:rsidRPr="008440A2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человек)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1891"/>
        <w:gridCol w:w="2446"/>
        <w:gridCol w:w="4726"/>
      </w:tblGrid>
      <w:tr w:rsidR="003714F9" w:rsidRPr="008440A2" w:rsidTr="0027102C">
        <w:trPr>
          <w:jc w:val="center"/>
        </w:trPr>
        <w:tc>
          <w:tcPr>
            <w:tcW w:w="1891" w:type="dxa"/>
          </w:tcPr>
          <w:p w:rsidR="003714F9" w:rsidRPr="008440A2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8440A2">
              <w:rPr>
                <w:rFonts w:ascii="Times New Roman" w:hAnsi="Times New Roman"/>
                <w:b/>
                <w:sz w:val="28"/>
                <w:szCs w:val="28"/>
              </w:rPr>
              <w:t>Уровни</w:t>
            </w:r>
          </w:p>
        </w:tc>
        <w:tc>
          <w:tcPr>
            <w:tcW w:w="2446" w:type="dxa"/>
          </w:tcPr>
          <w:p w:rsidR="003714F9" w:rsidRPr="008440A2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8440A2">
              <w:rPr>
                <w:rFonts w:ascii="Times New Roman" w:hAnsi="Times New Roman"/>
                <w:b/>
                <w:sz w:val="28"/>
                <w:szCs w:val="28"/>
              </w:rPr>
              <w:t>До эксперимента(%)</w:t>
            </w:r>
          </w:p>
        </w:tc>
        <w:tc>
          <w:tcPr>
            <w:tcW w:w="4726" w:type="dxa"/>
          </w:tcPr>
          <w:p w:rsidR="003714F9" w:rsidRPr="008440A2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8440A2">
              <w:rPr>
                <w:rFonts w:ascii="Times New Roman" w:hAnsi="Times New Roman"/>
                <w:b/>
                <w:sz w:val="28"/>
                <w:szCs w:val="28"/>
              </w:rPr>
              <w:t>После эксперимента(%)</w:t>
            </w:r>
          </w:p>
        </w:tc>
      </w:tr>
      <w:tr w:rsidR="003714F9" w:rsidRPr="008440A2" w:rsidTr="0027102C">
        <w:trPr>
          <w:jc w:val="center"/>
        </w:trPr>
        <w:tc>
          <w:tcPr>
            <w:tcW w:w="1891" w:type="dxa"/>
          </w:tcPr>
          <w:p w:rsidR="003714F9" w:rsidRPr="008440A2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8440A2">
              <w:rPr>
                <w:rFonts w:ascii="Times New Roman" w:hAnsi="Times New Roman"/>
                <w:sz w:val="28"/>
                <w:szCs w:val="28"/>
              </w:rPr>
              <w:t xml:space="preserve">Высокий </w:t>
            </w:r>
          </w:p>
        </w:tc>
        <w:tc>
          <w:tcPr>
            <w:tcW w:w="2446" w:type="dxa"/>
          </w:tcPr>
          <w:p w:rsidR="003714F9" w:rsidRPr="008440A2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726" w:type="dxa"/>
          </w:tcPr>
          <w:p w:rsidR="003714F9" w:rsidRPr="008440A2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3714F9" w:rsidRPr="008440A2" w:rsidTr="0027102C">
        <w:trPr>
          <w:jc w:val="center"/>
        </w:trPr>
        <w:tc>
          <w:tcPr>
            <w:tcW w:w="1891" w:type="dxa"/>
          </w:tcPr>
          <w:p w:rsidR="003714F9" w:rsidRPr="008440A2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8440A2">
              <w:rPr>
                <w:rFonts w:ascii="Times New Roman" w:hAnsi="Times New Roman"/>
                <w:sz w:val="28"/>
                <w:szCs w:val="28"/>
              </w:rPr>
              <w:t>Средний</w:t>
            </w:r>
          </w:p>
        </w:tc>
        <w:tc>
          <w:tcPr>
            <w:tcW w:w="2446" w:type="dxa"/>
          </w:tcPr>
          <w:p w:rsidR="003714F9" w:rsidRPr="008440A2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4726" w:type="dxa"/>
          </w:tcPr>
          <w:p w:rsidR="003714F9" w:rsidRPr="008440A2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</w:tr>
      <w:tr w:rsidR="003714F9" w:rsidRPr="008440A2" w:rsidTr="0027102C">
        <w:trPr>
          <w:jc w:val="center"/>
        </w:trPr>
        <w:tc>
          <w:tcPr>
            <w:tcW w:w="1891" w:type="dxa"/>
          </w:tcPr>
          <w:p w:rsidR="003714F9" w:rsidRPr="008440A2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8440A2">
              <w:rPr>
                <w:rFonts w:ascii="Times New Roman" w:hAnsi="Times New Roman"/>
                <w:sz w:val="28"/>
                <w:szCs w:val="28"/>
              </w:rPr>
              <w:t xml:space="preserve">Низкий </w:t>
            </w:r>
          </w:p>
        </w:tc>
        <w:tc>
          <w:tcPr>
            <w:tcW w:w="2446" w:type="dxa"/>
          </w:tcPr>
          <w:p w:rsidR="003714F9" w:rsidRPr="008440A2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4726" w:type="dxa"/>
          </w:tcPr>
          <w:p w:rsidR="003714F9" w:rsidRPr="008440A2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</w:tr>
    </w:tbl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lastRenderedPageBreak/>
        <w:drawing>
          <wp:inline distT="0" distB="0" distL="0" distR="0" wp14:anchorId="7A16D628" wp14:editId="5922A4AE">
            <wp:extent cx="5486400" cy="3200400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714F9" w:rsidRPr="00923C63" w:rsidRDefault="003714F9" w:rsidP="003714F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Рисунок 3</w:t>
      </w:r>
      <w:r w:rsidRPr="00923C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- Результаты </w:t>
      </w:r>
      <w:r w:rsidRPr="00923C6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оценки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когнитивного критерия</w:t>
      </w:r>
      <w:r w:rsidRPr="00923C6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на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контрольном</w:t>
      </w:r>
      <w:r w:rsidRPr="00923C6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этапе эксперимента в экспериментальном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и контрольным классах </w:t>
      </w: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2C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Сравнительный анализ на начало и конец эксперимента показывает, что обучающиеся экспериментальной группы значительно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повысили свой интерес </w:t>
      </w:r>
      <w:r w:rsidRPr="006A2C7B">
        <w:rPr>
          <w:rFonts w:ascii="Times New Roman" w:eastAsia="Calibri" w:hAnsi="Times New Roman" w:cs="Times New Roman"/>
          <w:sz w:val="28"/>
          <w:szCs w:val="28"/>
          <w:lang w:eastAsia="ru-RU"/>
        </w:rPr>
        <w:t>к физической культуре. В контрольной группе наблюдается значительно меньшая динамика по когнитивному критерию. Процент дете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й с высоким уровнем возрос на 25% (с 18% до 53</w:t>
      </w:r>
      <w:r w:rsidRPr="006A2C7B">
        <w:rPr>
          <w:rFonts w:ascii="Times New Roman" w:eastAsia="Calibri" w:hAnsi="Times New Roman" w:cs="Times New Roman"/>
          <w:sz w:val="28"/>
          <w:szCs w:val="28"/>
          <w:lang w:eastAsia="ru-RU"/>
        </w:rPr>
        <w:t>%) в экспер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иментальной группе и только на 3% (с11% до 14</w:t>
      </w:r>
      <w:r w:rsidRPr="006A2C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%) в контрольной. Таким образом, работа по формированию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интереса к урокам физической культуры по средствам подвижных игр </w:t>
      </w:r>
      <w:r w:rsidRPr="006A2C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было достаточно эффективна.</w:t>
      </w:r>
    </w:p>
    <w:p w:rsidR="003714F9" w:rsidRPr="006A2C7B" w:rsidRDefault="003714F9" w:rsidP="003714F9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E05B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Таблица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9.</w:t>
      </w:r>
    </w:p>
    <w:p w:rsidR="003714F9" w:rsidRPr="006E05B8" w:rsidRDefault="003714F9" w:rsidP="003714F9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5B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Результаты оценки мотивационно – потребностного критерия на констатирующем этапе эксперимента в экспериментальном классе (</w:t>
      </w:r>
      <w:r w:rsidRPr="006E05B8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n</w:t>
      </w:r>
      <w:r w:rsidRPr="006E05B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=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22</w:t>
      </w:r>
      <w:r w:rsidRPr="006E05B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человека)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1891"/>
        <w:gridCol w:w="2446"/>
        <w:gridCol w:w="4985"/>
      </w:tblGrid>
      <w:tr w:rsidR="003714F9" w:rsidRPr="006E05B8" w:rsidTr="0027102C">
        <w:tc>
          <w:tcPr>
            <w:tcW w:w="1891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6E05B8">
              <w:rPr>
                <w:rFonts w:ascii="Times New Roman" w:hAnsi="Times New Roman"/>
                <w:b/>
                <w:sz w:val="28"/>
                <w:szCs w:val="28"/>
              </w:rPr>
              <w:t>Уровни</w:t>
            </w:r>
          </w:p>
        </w:tc>
        <w:tc>
          <w:tcPr>
            <w:tcW w:w="2446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6E05B8">
              <w:rPr>
                <w:rFonts w:ascii="Times New Roman" w:hAnsi="Times New Roman"/>
                <w:b/>
                <w:sz w:val="28"/>
                <w:szCs w:val="28"/>
              </w:rPr>
              <w:t>До эксперимента(%)</w:t>
            </w:r>
          </w:p>
        </w:tc>
        <w:tc>
          <w:tcPr>
            <w:tcW w:w="4985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6E05B8">
              <w:rPr>
                <w:rFonts w:ascii="Times New Roman" w:hAnsi="Times New Roman"/>
                <w:b/>
                <w:sz w:val="28"/>
                <w:szCs w:val="28"/>
              </w:rPr>
              <w:t>После эксперимента(%)</w:t>
            </w:r>
          </w:p>
        </w:tc>
      </w:tr>
      <w:tr w:rsidR="003714F9" w:rsidRPr="006E05B8" w:rsidTr="0027102C">
        <w:tc>
          <w:tcPr>
            <w:tcW w:w="1891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6E05B8">
              <w:rPr>
                <w:rFonts w:ascii="Times New Roman" w:hAnsi="Times New Roman"/>
                <w:sz w:val="28"/>
                <w:szCs w:val="28"/>
              </w:rPr>
              <w:t xml:space="preserve">Высокий </w:t>
            </w:r>
          </w:p>
        </w:tc>
        <w:tc>
          <w:tcPr>
            <w:tcW w:w="2446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985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3714F9" w:rsidRPr="006E05B8" w:rsidTr="0027102C">
        <w:tc>
          <w:tcPr>
            <w:tcW w:w="1891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6E05B8">
              <w:rPr>
                <w:rFonts w:ascii="Times New Roman" w:hAnsi="Times New Roman"/>
                <w:sz w:val="28"/>
                <w:szCs w:val="28"/>
              </w:rPr>
              <w:t>Средний</w:t>
            </w:r>
          </w:p>
        </w:tc>
        <w:tc>
          <w:tcPr>
            <w:tcW w:w="2446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4985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3714F9" w:rsidRPr="006E05B8" w:rsidTr="0027102C">
        <w:tc>
          <w:tcPr>
            <w:tcW w:w="1891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6E05B8">
              <w:rPr>
                <w:rFonts w:ascii="Times New Roman" w:hAnsi="Times New Roman"/>
                <w:sz w:val="28"/>
                <w:szCs w:val="28"/>
              </w:rPr>
              <w:t xml:space="preserve">Низкий </w:t>
            </w:r>
          </w:p>
        </w:tc>
        <w:tc>
          <w:tcPr>
            <w:tcW w:w="2446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4985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3714F9" w:rsidRDefault="003714F9" w:rsidP="003714F9">
      <w:pPr>
        <w:spacing w:after="0" w:line="360" w:lineRule="auto"/>
        <w:jc w:val="right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3714F9" w:rsidRDefault="003714F9" w:rsidP="003714F9">
      <w:pPr>
        <w:spacing w:after="0" w:line="360" w:lineRule="auto"/>
        <w:jc w:val="right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Таблица 10.</w:t>
      </w:r>
    </w:p>
    <w:p w:rsidR="003714F9" w:rsidRPr="006E05B8" w:rsidRDefault="003714F9" w:rsidP="003714F9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5B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Результаты оценки мотивационно – потребностного критерия на констатирующем этапе эксперимента в контрольном классе (</w:t>
      </w:r>
      <w:r w:rsidRPr="006E05B8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n</w:t>
      </w:r>
      <w:r w:rsidRPr="006E05B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=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19</w:t>
      </w:r>
      <w:r w:rsidRPr="006E05B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человек)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1891"/>
        <w:gridCol w:w="2446"/>
        <w:gridCol w:w="4985"/>
      </w:tblGrid>
      <w:tr w:rsidR="003714F9" w:rsidRPr="006E05B8" w:rsidTr="0027102C">
        <w:tc>
          <w:tcPr>
            <w:tcW w:w="1891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6E05B8">
              <w:rPr>
                <w:rFonts w:ascii="Times New Roman" w:hAnsi="Times New Roman"/>
                <w:b/>
                <w:sz w:val="28"/>
                <w:szCs w:val="28"/>
              </w:rPr>
              <w:t>Уровни</w:t>
            </w:r>
          </w:p>
        </w:tc>
        <w:tc>
          <w:tcPr>
            <w:tcW w:w="2446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6E05B8">
              <w:rPr>
                <w:rFonts w:ascii="Times New Roman" w:hAnsi="Times New Roman"/>
                <w:b/>
                <w:sz w:val="28"/>
                <w:szCs w:val="28"/>
              </w:rPr>
              <w:t>До эксперимента(%)</w:t>
            </w:r>
          </w:p>
        </w:tc>
        <w:tc>
          <w:tcPr>
            <w:tcW w:w="4985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6E05B8">
              <w:rPr>
                <w:rFonts w:ascii="Times New Roman" w:hAnsi="Times New Roman"/>
                <w:b/>
                <w:sz w:val="28"/>
                <w:szCs w:val="28"/>
              </w:rPr>
              <w:t>После эксперимента(%)</w:t>
            </w:r>
          </w:p>
        </w:tc>
      </w:tr>
      <w:tr w:rsidR="003714F9" w:rsidRPr="006E05B8" w:rsidTr="0027102C">
        <w:tc>
          <w:tcPr>
            <w:tcW w:w="1891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6E05B8">
              <w:rPr>
                <w:rFonts w:ascii="Times New Roman" w:hAnsi="Times New Roman"/>
                <w:sz w:val="28"/>
                <w:szCs w:val="28"/>
              </w:rPr>
              <w:t xml:space="preserve">Высокий </w:t>
            </w:r>
          </w:p>
        </w:tc>
        <w:tc>
          <w:tcPr>
            <w:tcW w:w="2446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985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3714F9" w:rsidRPr="006E05B8" w:rsidTr="0027102C">
        <w:tc>
          <w:tcPr>
            <w:tcW w:w="1891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6E05B8">
              <w:rPr>
                <w:rFonts w:ascii="Times New Roman" w:hAnsi="Times New Roman"/>
                <w:sz w:val="28"/>
                <w:szCs w:val="28"/>
              </w:rPr>
              <w:t>Средний</w:t>
            </w:r>
          </w:p>
        </w:tc>
        <w:tc>
          <w:tcPr>
            <w:tcW w:w="2446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4985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</w:tr>
      <w:tr w:rsidR="003714F9" w:rsidRPr="006E05B8" w:rsidTr="0027102C">
        <w:tc>
          <w:tcPr>
            <w:tcW w:w="1891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6E05B8">
              <w:rPr>
                <w:rFonts w:ascii="Times New Roman" w:hAnsi="Times New Roman"/>
                <w:sz w:val="28"/>
                <w:szCs w:val="28"/>
              </w:rPr>
              <w:t xml:space="preserve">Низкий </w:t>
            </w:r>
          </w:p>
        </w:tc>
        <w:tc>
          <w:tcPr>
            <w:tcW w:w="2446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4985" w:type="dxa"/>
          </w:tcPr>
          <w:p w:rsidR="003714F9" w:rsidRPr="006E05B8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</w:tbl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drawing>
          <wp:inline distT="0" distB="0" distL="0" distR="0" wp14:anchorId="211493A2" wp14:editId="2D708153">
            <wp:extent cx="5486400" cy="32004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714F9" w:rsidRPr="00923C63" w:rsidRDefault="003714F9" w:rsidP="003714F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Рисунок 3</w:t>
      </w:r>
      <w:r w:rsidRPr="00923C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- Результаты </w:t>
      </w:r>
      <w:r w:rsidRPr="00923C6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оценки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мотивационно-потребностного критерия</w:t>
      </w:r>
      <w:r w:rsidRPr="00923C6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на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контрольном</w:t>
      </w:r>
      <w:r w:rsidRPr="00923C6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этапе эксперимента в экспериментальном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и контрольным классах </w:t>
      </w: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8029D">
        <w:rPr>
          <w:rFonts w:ascii="Times New Roman" w:eastAsia="Calibri" w:hAnsi="Times New Roman" w:cs="Times New Roman"/>
          <w:sz w:val="28"/>
          <w:szCs w:val="28"/>
          <w:lang w:eastAsia="ru-RU"/>
        </w:rPr>
        <w:t>Анализируя результаты по мотивационно-потребностного критерия стоит отметить, что в экспериментальной этап группе произошли существенные изменения. Процент детей с высоки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 уровнем мотивации возрос на 27% (с 23% до 50</w:t>
      </w:r>
      <w:r w:rsidRPr="005802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%), в контрольной же группе изменения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составляют 2%</w:t>
      </w:r>
      <w:r w:rsidRPr="005802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</w:t>
      </w:r>
      <w:r w:rsidRPr="0058029D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58029D">
        <w:rPr>
          <w:rFonts w:ascii="Times New Roman" w:eastAsia="Calibri" w:hAnsi="Times New Roman" w:cs="Times New Roman"/>
          <w:sz w:val="28"/>
          <w:szCs w:val="28"/>
          <w:lang w:eastAsia="ru-RU"/>
        </w:rPr>
        <w:t>%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 18</w:t>
      </w:r>
      <w:r w:rsidRPr="0058029D">
        <w:rPr>
          <w:rFonts w:ascii="Times New Roman" w:eastAsia="Calibri" w:hAnsi="Times New Roman" w:cs="Times New Roman"/>
          <w:sz w:val="28"/>
          <w:szCs w:val="28"/>
          <w:lang w:eastAsia="ru-RU"/>
        </w:rPr>
        <w:t>%). Необходимо отметить, в экспериментальной группе процент обучающихся с 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зким уровнем составляет всего 10% (уменьшение на 17%), а в контрольной группе 35% (уменьшение на 7</w:t>
      </w:r>
      <w:r w:rsidRPr="005802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%). Результаты исследования доказывают эффективность работы в ходе формирующего эксперимента относительно формирования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интереса к урокам физической культуры по средствам подвижных игр</w:t>
      </w:r>
      <w:r w:rsidRPr="0058029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714F9" w:rsidRDefault="003714F9" w:rsidP="003714F9">
      <w:pPr>
        <w:spacing w:after="0" w:line="360" w:lineRule="auto"/>
        <w:jc w:val="right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Таблица 11.</w:t>
      </w:r>
    </w:p>
    <w:p w:rsidR="003714F9" w:rsidRPr="0058029D" w:rsidRDefault="003714F9" w:rsidP="003714F9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802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Результаты оценки деятельностного критерия на констатирующем этапе эксперимента в экспериментальном классе (</w:t>
      </w:r>
      <w:r w:rsidRPr="0058029D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n</w:t>
      </w:r>
      <w:r w:rsidRPr="005802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=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22</w:t>
      </w:r>
      <w:r w:rsidRPr="005802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человека)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1891"/>
        <w:gridCol w:w="2446"/>
        <w:gridCol w:w="4985"/>
      </w:tblGrid>
      <w:tr w:rsidR="003714F9" w:rsidRPr="0058029D" w:rsidTr="0027102C">
        <w:tc>
          <w:tcPr>
            <w:tcW w:w="1891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58029D">
              <w:rPr>
                <w:rFonts w:ascii="Times New Roman" w:hAnsi="Times New Roman"/>
                <w:b/>
                <w:sz w:val="28"/>
                <w:szCs w:val="28"/>
              </w:rPr>
              <w:t>Уровни</w:t>
            </w:r>
          </w:p>
        </w:tc>
        <w:tc>
          <w:tcPr>
            <w:tcW w:w="2446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58029D">
              <w:rPr>
                <w:rFonts w:ascii="Times New Roman" w:hAnsi="Times New Roman"/>
                <w:b/>
                <w:sz w:val="28"/>
                <w:szCs w:val="28"/>
              </w:rPr>
              <w:t>До эксперимента(%)</w:t>
            </w:r>
          </w:p>
        </w:tc>
        <w:tc>
          <w:tcPr>
            <w:tcW w:w="4985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58029D">
              <w:rPr>
                <w:rFonts w:ascii="Times New Roman" w:hAnsi="Times New Roman"/>
                <w:b/>
                <w:sz w:val="28"/>
                <w:szCs w:val="28"/>
              </w:rPr>
              <w:t>После эксперимента(%)</w:t>
            </w:r>
          </w:p>
        </w:tc>
      </w:tr>
      <w:tr w:rsidR="003714F9" w:rsidRPr="0058029D" w:rsidTr="0027102C">
        <w:tc>
          <w:tcPr>
            <w:tcW w:w="1891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58029D">
              <w:rPr>
                <w:rFonts w:ascii="Times New Roman" w:hAnsi="Times New Roman"/>
                <w:sz w:val="28"/>
                <w:szCs w:val="28"/>
              </w:rPr>
              <w:t xml:space="preserve">Высокий </w:t>
            </w:r>
          </w:p>
        </w:tc>
        <w:tc>
          <w:tcPr>
            <w:tcW w:w="2446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985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3714F9" w:rsidRPr="0058029D" w:rsidTr="0027102C">
        <w:tc>
          <w:tcPr>
            <w:tcW w:w="1891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58029D">
              <w:rPr>
                <w:rFonts w:ascii="Times New Roman" w:hAnsi="Times New Roman"/>
                <w:sz w:val="28"/>
                <w:szCs w:val="28"/>
              </w:rPr>
              <w:t>Средний</w:t>
            </w:r>
          </w:p>
        </w:tc>
        <w:tc>
          <w:tcPr>
            <w:tcW w:w="2446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4985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3714F9" w:rsidRPr="0058029D" w:rsidTr="0027102C">
        <w:tc>
          <w:tcPr>
            <w:tcW w:w="1891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58029D">
              <w:rPr>
                <w:rFonts w:ascii="Times New Roman" w:hAnsi="Times New Roman"/>
                <w:sz w:val="28"/>
                <w:szCs w:val="28"/>
              </w:rPr>
              <w:t xml:space="preserve">Низкий </w:t>
            </w:r>
          </w:p>
        </w:tc>
        <w:tc>
          <w:tcPr>
            <w:tcW w:w="2446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4985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</w:tbl>
    <w:p w:rsidR="003714F9" w:rsidRDefault="003714F9" w:rsidP="003714F9">
      <w:pPr>
        <w:spacing w:after="0" w:line="360" w:lineRule="auto"/>
        <w:jc w:val="right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3714F9" w:rsidRDefault="003714F9" w:rsidP="003714F9">
      <w:pPr>
        <w:spacing w:after="0" w:line="360" w:lineRule="auto"/>
        <w:jc w:val="right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Таблица 12.</w:t>
      </w:r>
    </w:p>
    <w:p w:rsidR="003714F9" w:rsidRPr="0058029D" w:rsidRDefault="003714F9" w:rsidP="003714F9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802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Результаты оценки деятельностного критерия на констатирующем этапе эксперимента в контрольном классе (</w:t>
      </w:r>
      <w:r w:rsidRPr="0058029D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n</w:t>
      </w:r>
      <w:r w:rsidRPr="005802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=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19</w:t>
      </w:r>
      <w:r w:rsidRPr="005802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человек)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1891"/>
        <w:gridCol w:w="2446"/>
        <w:gridCol w:w="4985"/>
      </w:tblGrid>
      <w:tr w:rsidR="003714F9" w:rsidRPr="0058029D" w:rsidTr="0027102C">
        <w:tc>
          <w:tcPr>
            <w:tcW w:w="1891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58029D">
              <w:rPr>
                <w:rFonts w:ascii="Times New Roman" w:hAnsi="Times New Roman"/>
                <w:b/>
                <w:sz w:val="28"/>
                <w:szCs w:val="28"/>
              </w:rPr>
              <w:t>Уровни</w:t>
            </w:r>
          </w:p>
        </w:tc>
        <w:tc>
          <w:tcPr>
            <w:tcW w:w="2446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58029D">
              <w:rPr>
                <w:rFonts w:ascii="Times New Roman" w:hAnsi="Times New Roman"/>
                <w:b/>
                <w:sz w:val="28"/>
                <w:szCs w:val="28"/>
              </w:rPr>
              <w:t>До эксперимента(%)</w:t>
            </w:r>
          </w:p>
        </w:tc>
        <w:tc>
          <w:tcPr>
            <w:tcW w:w="4985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58029D">
              <w:rPr>
                <w:rFonts w:ascii="Times New Roman" w:hAnsi="Times New Roman"/>
                <w:b/>
                <w:sz w:val="28"/>
                <w:szCs w:val="28"/>
              </w:rPr>
              <w:t>После эксперимента(%)</w:t>
            </w:r>
          </w:p>
        </w:tc>
      </w:tr>
      <w:tr w:rsidR="003714F9" w:rsidRPr="0058029D" w:rsidTr="0027102C">
        <w:tc>
          <w:tcPr>
            <w:tcW w:w="1891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58029D">
              <w:rPr>
                <w:rFonts w:ascii="Times New Roman" w:hAnsi="Times New Roman"/>
                <w:sz w:val="28"/>
                <w:szCs w:val="28"/>
              </w:rPr>
              <w:t xml:space="preserve">Высокий </w:t>
            </w:r>
          </w:p>
        </w:tc>
        <w:tc>
          <w:tcPr>
            <w:tcW w:w="2446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985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3714F9" w:rsidRPr="0058029D" w:rsidTr="0027102C">
        <w:tc>
          <w:tcPr>
            <w:tcW w:w="1891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58029D">
              <w:rPr>
                <w:rFonts w:ascii="Times New Roman" w:hAnsi="Times New Roman"/>
                <w:sz w:val="28"/>
                <w:szCs w:val="28"/>
              </w:rPr>
              <w:t>Средний</w:t>
            </w:r>
          </w:p>
        </w:tc>
        <w:tc>
          <w:tcPr>
            <w:tcW w:w="2446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4985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</w:tr>
      <w:tr w:rsidR="003714F9" w:rsidRPr="0058029D" w:rsidTr="0027102C">
        <w:tc>
          <w:tcPr>
            <w:tcW w:w="1891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58029D">
              <w:rPr>
                <w:rFonts w:ascii="Times New Roman" w:hAnsi="Times New Roman"/>
                <w:sz w:val="28"/>
                <w:szCs w:val="28"/>
              </w:rPr>
              <w:t xml:space="preserve">Низкий </w:t>
            </w:r>
          </w:p>
        </w:tc>
        <w:tc>
          <w:tcPr>
            <w:tcW w:w="2446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4985" w:type="dxa"/>
          </w:tcPr>
          <w:p w:rsidR="003714F9" w:rsidRPr="0058029D" w:rsidRDefault="003714F9" w:rsidP="0027102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</w:tbl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drawing>
          <wp:inline distT="0" distB="0" distL="0" distR="0" wp14:anchorId="501E0DF7" wp14:editId="2C0A9B24">
            <wp:extent cx="5486400" cy="32004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714F9" w:rsidRPr="00923C63" w:rsidRDefault="003714F9" w:rsidP="003714F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Рисунок 3</w:t>
      </w:r>
      <w:r w:rsidRPr="00923C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- Результаты </w:t>
      </w:r>
      <w:r w:rsidRPr="00923C6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оценки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деятельного критерия</w:t>
      </w:r>
      <w:r w:rsidRPr="00923C6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на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контрольном</w:t>
      </w:r>
      <w:r w:rsidRPr="00923C6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этапе эксперимента в экспериментальном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и контрольным классах </w:t>
      </w: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1F77">
        <w:rPr>
          <w:rFonts w:ascii="Times New Roman" w:hAnsi="Times New Roman"/>
          <w:sz w:val="28"/>
          <w:szCs w:val="28"/>
          <w:lang w:eastAsia="ru-RU"/>
        </w:rPr>
        <w:t xml:space="preserve">Анализируя результаты по </w:t>
      </w:r>
      <w:r>
        <w:rPr>
          <w:rFonts w:ascii="Times New Roman" w:hAnsi="Times New Roman"/>
          <w:sz w:val="28"/>
          <w:szCs w:val="28"/>
          <w:lang w:eastAsia="ru-RU"/>
        </w:rPr>
        <w:t xml:space="preserve"> деятельного</w:t>
      </w:r>
      <w:r w:rsidRPr="00E71F77">
        <w:rPr>
          <w:rFonts w:ascii="Times New Roman" w:hAnsi="Times New Roman"/>
          <w:sz w:val="28"/>
          <w:szCs w:val="28"/>
          <w:lang w:eastAsia="ru-RU"/>
        </w:rPr>
        <w:t xml:space="preserve"> критерия стоит отметить, что в экспериментальной этап группе произошли существенные изменения. Процент детей с высоки</w:t>
      </w:r>
      <w:r>
        <w:rPr>
          <w:rFonts w:ascii="Times New Roman" w:hAnsi="Times New Roman"/>
          <w:sz w:val="28"/>
          <w:szCs w:val="28"/>
          <w:lang w:eastAsia="ru-RU"/>
        </w:rPr>
        <w:t>м уровнем мотивации возрос на 41% (с9% до 50</w:t>
      </w:r>
      <w:r w:rsidRPr="00E71F77">
        <w:rPr>
          <w:rFonts w:ascii="Times New Roman" w:hAnsi="Times New Roman"/>
          <w:sz w:val="28"/>
          <w:szCs w:val="28"/>
          <w:lang w:eastAsia="ru-RU"/>
        </w:rPr>
        <w:t>%), в контрольной же группе изменения отсутствуют (1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E71F77">
        <w:rPr>
          <w:rFonts w:ascii="Times New Roman" w:hAnsi="Times New Roman"/>
          <w:sz w:val="28"/>
          <w:szCs w:val="28"/>
          <w:lang w:eastAsia="ru-RU"/>
        </w:rPr>
        <w:t>%). Необходимо отметить, в экспериментальной группе процент обучающихся с ни</w:t>
      </w:r>
      <w:r>
        <w:rPr>
          <w:rFonts w:ascii="Times New Roman" w:hAnsi="Times New Roman"/>
          <w:sz w:val="28"/>
          <w:szCs w:val="28"/>
          <w:lang w:eastAsia="ru-RU"/>
        </w:rPr>
        <w:t>зким уровнем составляет всего 15% (уменьшение на 26%), а в контрольной группе 53% (уменьшение на 13</w:t>
      </w:r>
      <w:r w:rsidRPr="00E71F77">
        <w:rPr>
          <w:rFonts w:ascii="Times New Roman" w:hAnsi="Times New Roman"/>
          <w:sz w:val="28"/>
          <w:szCs w:val="28"/>
          <w:lang w:eastAsia="ru-RU"/>
        </w:rPr>
        <w:t xml:space="preserve">%). Результаты исследования доказывают эффективность работы в ходе формирующего эксперимента относительно формирования </w:t>
      </w:r>
      <w:r>
        <w:rPr>
          <w:rFonts w:ascii="Times New Roman" w:hAnsi="Times New Roman"/>
          <w:sz w:val="28"/>
          <w:szCs w:val="28"/>
          <w:lang w:eastAsia="ru-RU"/>
        </w:rPr>
        <w:t>интереса к урокам физической культуры посредством подвижных игр</w:t>
      </w:r>
      <w:r w:rsidRPr="00E71F77">
        <w:rPr>
          <w:rFonts w:ascii="Times New Roman" w:hAnsi="Times New Roman"/>
          <w:sz w:val="28"/>
          <w:szCs w:val="28"/>
          <w:lang w:eastAsia="ru-RU"/>
        </w:rPr>
        <w:t>.</w:t>
      </w:r>
    </w:p>
    <w:p w:rsidR="003714F9" w:rsidRPr="001419D8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Анализируя результаты контрольного этапа эксперимента, мы отмечаем, что в экспериментальном классе, по сравнению с контрольным, более высокая динамика формирования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интереса к урокам физической культуры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Рост показателей ярко выражен по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деятельному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критерию. Достаточно значительный рост показателей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когнитивного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критерия. Относительно </w:t>
      </w:r>
      <w:r w:rsidRPr="0058029D">
        <w:rPr>
          <w:rFonts w:ascii="Times New Roman" w:eastAsia="Calibri" w:hAnsi="Times New Roman" w:cs="Times New Roman"/>
          <w:sz w:val="28"/>
          <w:szCs w:val="28"/>
          <w:lang w:eastAsia="ru-RU"/>
        </w:rPr>
        <w:t>мотивационно-потребностного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критерия</w:t>
      </w:r>
      <w:r w:rsidRPr="005802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>разница в динамике так же прослеживается.</w:t>
      </w:r>
    </w:p>
    <w:p w:rsidR="003714F9" w:rsidRPr="001419D8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Таким образом, педагогическая деятельность специально организованная для формирования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интереса к урокам  физической культуры по средствам подвижных игр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младших школьников в экспериментальном классе способствовала формированию интереса младшего школьника к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подвижной игре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усвоению знаний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 подвижных играх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>, создала определенный положительный эмоциональный фон вокруг этого процесса.</w:t>
      </w:r>
    </w:p>
    <w:p w:rsidR="003714F9" w:rsidRPr="001419D8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ходе проведения экспериментальной работы по формированию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интереса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физической культуре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средствам подвижных игр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мы пришли к выводу, что такая работа будет успешна, если педагог использует возможности школьной программы, а также привлекает школьников к внеклассной работе.</w:t>
      </w:r>
    </w:p>
    <w:p w:rsidR="003714F9" w:rsidRPr="001419D8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Занимаясь проблемой формирования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интереса к урокам физической культуры по средствам подвижных игр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мы также пришли к выводу, что благоприятные условия для такого развития создаются в коллективной деятельности детей с привлечением родителей. Такая деятельность стимулирует у младших школьников интерес, способствует развитию физических качеств, создает благоприятный эмоциональный фон,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способствует мышлению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714F9" w:rsidRPr="001419D8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Таким образом, проанализировав проделанную экспериментальную работу по формированию </w:t>
      </w:r>
      <w:r w:rsidRPr="003C06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интереса к урокам физической культуры по средствам подвижных игр 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>младших школьников, мы можем утверждать, что работа педагога по данной проблеме в рамках учебного процесса должна носить системный характер, опираясь как на реализацию учебной программы в процессе учебных занятий, так и на организацию внеклассных мероприятий. Кроме того необходимы разнообразные формы такой работы. Систематическая работа (физминутки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внимание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>, игры на переменах) позволяют привить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привычку к самостоятельным играм во внеурочное время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событийные же мероприятия (праздники, соревнования, игровые программы) создают ситуации успеха для обучающихся, что становится средством формирования мотивации и желания продолжать работу в данном направлении. Важным условием организации работы по формированию </w:t>
      </w:r>
      <w:r w:rsidRPr="003C06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интереса к урокам физической культуры по средствам подвижных игр 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>младших школьников является создания положительного эмоционального настроя, который во многом определяет уровень эффективности работы в данном направлении. Эксперимент показал необходимость привлечение в данный процесс родителей и педагогов.</w:t>
      </w:r>
    </w:p>
    <w:p w:rsidR="003714F9" w:rsidRPr="001419D8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Опираясь на положение о том, что процесс формирования </w:t>
      </w:r>
      <w:r w:rsidRPr="003C06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интереса к урокам физической культуры по средствам подвижных игр 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младших школьников затрагивает развитие различных сторон личности школьника, мы выработали следующие критерии: когнитивный, который предполагает наличие (или отсутствие) определенных знаний, умений, интеллектуальных функций, необходимых для формирования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интереса к урокам физической культуры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мотвационно-потребностный, который предполагает наличие (или отсутствие) желания участвовать в различных мероприятиях, интереса к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подвижным играм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деятельностный критерий предполагает возможность практического осуществления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игровой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деятельности младших школьников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714F9" w:rsidRPr="001419D8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Проведя констатирующий этап эксперимента с целью определения уровня сформированности </w:t>
      </w:r>
      <w:r w:rsidRPr="00ED0893">
        <w:rPr>
          <w:rFonts w:ascii="Times New Roman" w:eastAsia="Calibri" w:hAnsi="Times New Roman" w:cs="Times New Roman"/>
          <w:sz w:val="28"/>
          <w:szCs w:val="28"/>
          <w:lang w:eastAsia="ru-RU"/>
        </w:rPr>
        <w:t>интереса к урокам физической культуры по средствам подвижных игр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младших школьников, мы пришли к выводу о том, что высокий уровень имеет очень маленький процент учащихся. Из проведенного исследования стало ясно, что необходима определенная специальная работа по формированию </w:t>
      </w:r>
      <w:r w:rsidRPr="00ED0893">
        <w:rPr>
          <w:rFonts w:ascii="Times New Roman" w:eastAsia="Calibri" w:hAnsi="Times New Roman" w:cs="Times New Roman"/>
          <w:sz w:val="28"/>
          <w:szCs w:val="28"/>
          <w:lang w:eastAsia="ru-RU"/>
        </w:rPr>
        <w:t>интереса к урокам физической культуры по средствам подвижных игр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которая бы носила системный характер. Следовательно, существует необходимость для проведения экспериментальной работы по проблеме формирования </w:t>
      </w:r>
      <w:r w:rsidRPr="00ED08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интереса к урокам физической культуры по средствам подвижных игр 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>младших школьников средствами физического воспитания.</w:t>
      </w:r>
    </w:p>
    <w:p w:rsidR="003714F9" w:rsidRPr="001419D8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Проведя контрольный этап эксперимента после проведения формирующего этапа эксперимента, в ходе которого была организована систематическая работа по формированию </w:t>
      </w:r>
      <w:r w:rsidRPr="00277400">
        <w:rPr>
          <w:rFonts w:ascii="Times New Roman" w:eastAsia="Calibri" w:hAnsi="Times New Roman" w:cs="Times New Roman"/>
          <w:sz w:val="28"/>
          <w:szCs w:val="28"/>
          <w:lang w:eastAsia="ru-RU"/>
        </w:rPr>
        <w:t>интереса к урокам физической культуры по средствам подвижных игр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младших школьников, мы выявили, эффективность данной работы. Рост показателей ярко выражен по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деятельному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когнитивному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критерию. Относительно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мотивационно-потребностного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разница в динамике так же прослеживается.</w:t>
      </w:r>
    </w:p>
    <w:p w:rsidR="003714F9" w:rsidRPr="00E71F77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>Таким образом, педагогическая деятельность специально организованная для формирования</w:t>
      </w:r>
      <w:r w:rsidRPr="002774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интереса к урокам физической культуры по средствам подвижных игр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младших школьников в экспериментальном классе способствовала формированию интереса младшего школьника к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подвижным играм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усвоению знаний относительно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игры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создала определенный положительный эмоциональный фон вокруг этого процесса, создала благоприятные возможности для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проведению игр</w:t>
      </w:r>
      <w:r w:rsidRPr="001419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процессе учебной деятельности.</w:t>
      </w: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A285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Вывод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A285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2 главе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:</w:t>
      </w: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FA285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роанализировав полученные данные, мы выяснили, что обучающиеся контрольного и экспериментального классов имеют примерно одинаковый уровень сформированности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интереса к </w:t>
      </w:r>
      <w:r w:rsidRPr="00FA285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физической культуры. Было также выявлено, что высокий уровень сформированности интереса  к физической культуре посредством подвижных игр  имеет очень маленький процент учащихся и того и другого класса. Необходимо также отметить, что наибольший процент (от 27% до 53%) младших школьников имеют низкий уровень сформированности. Из проведенного эксперимента стало ясно, что необходима целенаправленная работа по формированию интереса к физической культуре посредством подвижных игр, которая бы носила системный характер. Следовательно, существует необходимость для проведения экспериментальной работы по проблеме формирования интереса к урокам физической культуры по средством подвижных игры.</w:t>
      </w: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FA2856">
        <w:rPr>
          <w:rFonts w:ascii="Times New Roman" w:eastAsia="Calibri" w:hAnsi="Times New Roman" w:cs="Times New Roman"/>
          <w:sz w:val="28"/>
          <w:szCs w:val="28"/>
          <w:lang w:eastAsia="ru-RU"/>
        </w:rPr>
        <w:t>так, наиболее благоприятные условия для такого развития создаются в коллективной деятельности детей с привлечением родителей. Такая деятельность стимулирует у младших школьников интерес, способствует развитию физических качеств, создает благоприятный эмоциональный фон.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A2856">
        <w:rPr>
          <w:rFonts w:ascii="Times New Roman" w:eastAsia="Calibri" w:hAnsi="Times New Roman" w:cs="Times New Roman"/>
          <w:sz w:val="28"/>
          <w:szCs w:val="28"/>
          <w:lang w:eastAsia="ru-RU"/>
        </w:rPr>
        <w:t>Так же очень важно использовать сюжетные подвижные игры и игры с персонажами. И не мало важно проводить малоподвижную игру на внимание для концентрации внимания и снижения эмоционального фона в конце урока.</w:t>
      </w: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Таким </w:t>
      </w:r>
      <w:r w:rsidRPr="00FA2856">
        <w:rPr>
          <w:rFonts w:ascii="Times New Roman" w:eastAsia="Calibri" w:hAnsi="Times New Roman" w:cs="Times New Roman"/>
          <w:sz w:val="28"/>
          <w:szCs w:val="28"/>
          <w:lang w:eastAsia="ru-RU"/>
        </w:rPr>
        <w:t>образом, педагогическая деятельность специально организованная для формирования интереса к урокам физической культуры по средствам подвижных игр младших школьников в экспериментальном классе способствовала формированию интереса младшего школьника к подвижным играм, усвоению знаний относительно игры, создала определенный положительный эмоциональный фон вокруг этого процесса, создала благоприятные возможности для проведению игр в процессе учебной деятельности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646C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Заключение</w:t>
      </w:r>
    </w:p>
    <w:p w:rsidR="003714F9" w:rsidRPr="007646CB" w:rsidRDefault="003714F9" w:rsidP="003714F9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714F9" w:rsidRPr="007646CB" w:rsidRDefault="003714F9" w:rsidP="003714F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46CB">
        <w:rPr>
          <w:rFonts w:ascii="Times New Roman" w:eastAsia="Calibri" w:hAnsi="Times New Roman" w:cs="Times New Roman"/>
          <w:sz w:val="28"/>
          <w:szCs w:val="28"/>
        </w:rPr>
        <w:t xml:space="preserve">Формирование интереса учащихся к занятиям физической культурой будет эффективным, если: 1) применяется объективная система контроля процесса физического воспитания, выполняющая стимулирующую роль оценки; 2) в качестве мотивирующих факторов применяется интегральная оценка, профиль физической подготовленности и показатели физического здоровья; 3) мотивирующие факторы объединены в методике Формирования интереса к занятиям физической культурой учащихся. </w:t>
      </w:r>
    </w:p>
    <w:p w:rsidR="003714F9" w:rsidRPr="007646CB" w:rsidRDefault="003714F9" w:rsidP="003714F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46CB">
        <w:rPr>
          <w:rFonts w:ascii="Times New Roman" w:eastAsia="Calibri" w:hAnsi="Times New Roman" w:cs="Times New Roman"/>
          <w:sz w:val="28"/>
          <w:szCs w:val="28"/>
        </w:rPr>
        <w:t xml:space="preserve">Урок физической культуры обладает особенностями, обусловленными возрастными возможностями учащихся разных классов, содержанием учебных программ, комплексностью решения педагогических задач, местом каждого урока в ряде других общеобразовательных уроков и в режиме учебного дня. Все это указывает на необходимость соблюдения ряда требований его организации и проведению. К основным из них относятся следующие: четкость постановки целей и задач, соответствие состава учебного материала учебной программе и характеру поставленных задач, целесообразный отбор средств и методов обучения с учетом дидактической цели и задачи урока, тесная связь уроков с предыдущими и последующими. Сочетание фронтальной, групповой и индивидуальной работы, постоянное видоизменение содержание урока, методики организации и проведения, обеспечение травмобезопасности урока, постоянный контроль за ходом и результатами учебной деятельности учащихся. </w:t>
      </w:r>
    </w:p>
    <w:p w:rsidR="003714F9" w:rsidRPr="007646CB" w:rsidRDefault="003714F9" w:rsidP="003714F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46CB">
        <w:rPr>
          <w:rFonts w:ascii="Times New Roman" w:eastAsia="Calibri" w:hAnsi="Times New Roman" w:cs="Times New Roman"/>
          <w:sz w:val="28"/>
          <w:szCs w:val="28"/>
        </w:rPr>
        <w:t> На уроках ученик должен, прежде всего, получать удовлетворение от того, что он делает. Поэтому педагогу, чтобы учебный процесс был более эффективным, необходимо знать о  наличии у учащихся удовлетворенности уроками, а при её отсутствии, вскрыть причину неудовлетворенности.</w:t>
      </w: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46CB">
        <w:rPr>
          <w:rFonts w:ascii="Times New Roman" w:eastAsia="Calibri" w:hAnsi="Times New Roman" w:cs="Times New Roman"/>
          <w:sz w:val="28"/>
          <w:szCs w:val="28"/>
        </w:rPr>
        <w:t>Каждый урок физической культуры должен отвечать следующим требованиям: иметь определенные задачи; быть правильно методически построенным; быть последовательным продолжением предыдущих занятий; быть интересным для учащихся; побуждать их к активной деятельности;содержать упражнения и игры; содействовать разностороннему физическому развитию; укреплению здоровья;носить воспитывающий характер.</w:t>
      </w:r>
    </w:p>
    <w:p w:rsidR="003714F9" w:rsidRPr="007646CB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46CB">
        <w:rPr>
          <w:rFonts w:ascii="Times New Roman" w:eastAsia="Calibri" w:hAnsi="Times New Roman" w:cs="Times New Roman"/>
          <w:sz w:val="28"/>
          <w:szCs w:val="28"/>
          <w:lang w:eastAsia="ru-RU"/>
        </w:rPr>
        <w:t>Проанализировав полученные данные, мы выяснили, что обучающиеся контрольного и экспериментального классов имеют примерно одинаковый уровень сформированности интереса к  физической культуры. Было также выявлено, что высокий уровень сформированности интереса  к физической культуре посредством подвижных игр  имеет очень маленький процент учащихся и того и другого класса. Необходимо также отметить, что наибольший процент (от 27% до 53%) младших школьников имеют низкий уровень сформированности. Из проведенного эксперимента стало ясно, что необходима целенаправленная работа по формированию интереса к физической культуре посредством подвижных игр, которая бы носила системный характер. Следовательно, существует необходимость для проведения экспериментальной работы по проблеме формирования интереса к урокам физической культуры по средством подвижных игры.</w:t>
      </w:r>
    </w:p>
    <w:p w:rsidR="003714F9" w:rsidRPr="007646CB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7646CB">
        <w:rPr>
          <w:rFonts w:ascii="Times New Roman" w:eastAsia="Calibri" w:hAnsi="Times New Roman" w:cs="Times New Roman"/>
          <w:sz w:val="28"/>
          <w:szCs w:val="28"/>
          <w:lang w:eastAsia="ru-RU"/>
        </w:rPr>
        <w:t>так, наиболее благоприятные условия для такого развития создаются в коллективной деятельности детей с привлечением родителей. Такая деятельность стимулирует у младших школьников интерес, способствует развитию физических качеств, создает благоприятный эмоциональный фон.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646CB">
        <w:rPr>
          <w:rFonts w:ascii="Times New Roman" w:eastAsia="Calibri" w:hAnsi="Times New Roman" w:cs="Times New Roman"/>
          <w:sz w:val="28"/>
          <w:szCs w:val="28"/>
          <w:lang w:eastAsia="ru-RU"/>
        </w:rPr>
        <w:t>Так же очень важно использовать сюжетные подвижные игры и игры с персонажами. И не мало важно проводить малоподвижную игру на внимание для концентрации внимания и снижения эмоционального фона в конце урока.</w:t>
      </w:r>
    </w:p>
    <w:p w:rsidR="003714F9" w:rsidRDefault="003714F9" w:rsidP="003714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46CB">
        <w:rPr>
          <w:rFonts w:ascii="Times New Roman" w:eastAsia="Calibri" w:hAnsi="Times New Roman" w:cs="Times New Roman"/>
          <w:sz w:val="28"/>
          <w:szCs w:val="28"/>
          <w:lang w:eastAsia="ru-RU"/>
        </w:rPr>
        <w:t>Таким образом, педагогическая деятельность специально организованная для формирования интереса к урокам физической культуры по средствам подвижных игр младших школьников в экспериментальном классе способствовала формированию интереса младшего школьника к подвижным играм, усвоению знаний относительно игры, создала определенный положительный эмоциональный фон вокруг этого процесса, создала благоприятные возможности для проведению игр в процессе учебной деятельности.</w:t>
      </w:r>
    </w:p>
    <w:p w:rsidR="00106DCE" w:rsidRDefault="00106DCE">
      <w:bookmarkStart w:id="0" w:name="_GoBack"/>
      <w:bookmarkEnd w:id="0"/>
    </w:p>
    <w:sectPr w:rsidR="00106DCE" w:rsidSect="00A635C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4F9"/>
    <w:rsid w:val="00106DCE"/>
    <w:rsid w:val="003714F9"/>
    <w:rsid w:val="00A6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5E8BA2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4F9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3714F9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99"/>
    <w:rsid w:val="003714F9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99"/>
    <w:rsid w:val="003714F9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99"/>
    <w:rsid w:val="003714F9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714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4F9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3714F9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99"/>
    <w:rsid w:val="003714F9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99"/>
    <w:rsid w:val="003714F9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99"/>
    <w:rsid w:val="003714F9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714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chart" Target="charts/chart2.xml"/><Relationship Id="rId7" Type="http://schemas.openxmlformats.org/officeDocument/2006/relationships/chart" Target="charts/chart3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themeOverride" Target="../theme/themeOverride1.xml"/><Relationship Id="rId2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themeOverride" Target="../theme/themeOverride2.xml"/><Relationship Id="rId2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themeOverride" Target="../theme/themeOverride3.xml"/><Relationship Id="rId2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 Эксперементальный класс </c:v>
                </c:pt>
                <c:pt idx="2">
                  <c:v>Контрольный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53.0</c:v>
                </c:pt>
                <c:pt idx="2">
                  <c:v>14.0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 Эксперементальный класс </c:v>
                </c:pt>
                <c:pt idx="2">
                  <c:v>Контрольный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30.0</c:v>
                </c:pt>
                <c:pt idx="2">
                  <c:v>48.0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 Эксперементальный класс </c:v>
                </c:pt>
                <c:pt idx="2">
                  <c:v>Контрольный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17.0</c:v>
                </c:pt>
                <c:pt idx="2">
                  <c:v>35.0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18618808"/>
        <c:axId val="2118620984"/>
      </c:barChart>
      <c:catAx>
        <c:axId val="2118618808"/>
        <c:scaling>
          <c:orientation val="minMax"/>
        </c:scaling>
        <c:delete val="0"/>
        <c:axPos val="b"/>
        <c:majorTickMark val="out"/>
        <c:minorTickMark val="none"/>
        <c:tickLblPos val="nextTo"/>
        <c:crossAx val="2118620984"/>
        <c:crosses val="autoZero"/>
        <c:auto val="1"/>
        <c:lblAlgn val="ctr"/>
        <c:lblOffset val="100"/>
        <c:noMultiLvlLbl val="0"/>
      </c:catAx>
      <c:valAx>
        <c:axId val="21186209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186188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 Эксперементальный класс </c:v>
                </c:pt>
                <c:pt idx="2">
                  <c:v>Контрольный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50.0</c:v>
                </c:pt>
                <c:pt idx="2">
                  <c:v>18.0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 Эксперементальный класс </c:v>
                </c:pt>
                <c:pt idx="2">
                  <c:v>Контрольный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40.0</c:v>
                </c:pt>
                <c:pt idx="2">
                  <c:v>47.0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 Эксперементальный класс </c:v>
                </c:pt>
                <c:pt idx="2">
                  <c:v>Контрольный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10.0</c:v>
                </c:pt>
                <c:pt idx="2">
                  <c:v>35.0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14502488"/>
        <c:axId val="2118299976"/>
      </c:barChart>
      <c:catAx>
        <c:axId val="2114502488"/>
        <c:scaling>
          <c:orientation val="minMax"/>
        </c:scaling>
        <c:delete val="0"/>
        <c:axPos val="b"/>
        <c:majorTickMark val="out"/>
        <c:minorTickMark val="none"/>
        <c:tickLblPos val="nextTo"/>
        <c:crossAx val="2118299976"/>
        <c:crosses val="autoZero"/>
        <c:auto val="1"/>
        <c:lblAlgn val="ctr"/>
        <c:lblOffset val="100"/>
        <c:noMultiLvlLbl val="0"/>
      </c:catAx>
      <c:valAx>
        <c:axId val="21182999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145024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0553607101195684"/>
          <c:y val="0.0440576177977753"/>
          <c:w val="0.7750107538641"/>
          <c:h val="0.8565310586176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 Эксперементальный класс </c:v>
                </c:pt>
                <c:pt idx="2">
                  <c:v>Контрольный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50.0</c:v>
                </c:pt>
                <c:pt idx="2">
                  <c:v>15.0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 Эксперементальный класс </c:v>
                </c:pt>
                <c:pt idx="2">
                  <c:v>Контрольный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35.0</c:v>
                </c:pt>
                <c:pt idx="2">
                  <c:v>45.0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 Эксперементальный класс </c:v>
                </c:pt>
                <c:pt idx="2">
                  <c:v>Контрольный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15.0</c:v>
                </c:pt>
                <c:pt idx="2">
                  <c:v>40.0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16378376"/>
        <c:axId val="2116297464"/>
      </c:barChart>
      <c:catAx>
        <c:axId val="2116378376"/>
        <c:scaling>
          <c:orientation val="minMax"/>
        </c:scaling>
        <c:delete val="0"/>
        <c:axPos val="b"/>
        <c:majorTickMark val="out"/>
        <c:minorTickMark val="none"/>
        <c:tickLblPos val="nextTo"/>
        <c:crossAx val="2116297464"/>
        <c:crosses val="autoZero"/>
        <c:auto val="1"/>
        <c:lblAlgn val="ctr"/>
        <c:lblOffset val="100"/>
        <c:noMultiLvlLbl val="0"/>
      </c:catAx>
      <c:valAx>
        <c:axId val="21162974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1637837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2189</Words>
  <Characters>12483</Characters>
  <Application>Microsoft Macintosh Word</Application>
  <DocSecurity>0</DocSecurity>
  <Lines>104</Lines>
  <Paragraphs>29</Paragraphs>
  <ScaleCrop>false</ScaleCrop>
  <Company/>
  <LinksUpToDate>false</LinksUpToDate>
  <CharactersWithSpaces>14643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intertext@bk.ru</dc:creator>
  <cp:keywords/>
  <dc:description/>
  <cp:lastModifiedBy>intertext@bk.ru</cp:lastModifiedBy>
  <cp:revision>1</cp:revision>
  <dcterms:created xsi:type="dcterms:W3CDTF">2018-08-05T14:59:00Z</dcterms:created>
  <dcterms:modified xsi:type="dcterms:W3CDTF">2018-08-05T14:59:00Z</dcterms:modified>
</cp:coreProperties>
</file>