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772" w:rsidRPr="00E025E3" w:rsidRDefault="009D2772" w:rsidP="00D455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</w:rPr>
      </w:pPr>
      <w:r w:rsidRPr="00E025E3">
        <w:rPr>
          <w:rFonts w:ascii="Times New Roman" w:eastAsia="Calibri" w:hAnsi="Times New Roman" w:cs="Times New Roman"/>
          <w:b/>
        </w:rPr>
        <w:t>Духовная культура личности и общества</w:t>
      </w:r>
    </w:p>
    <w:p w:rsidR="009D2772" w:rsidRPr="009D2772" w:rsidRDefault="00FE6092" w:rsidP="009D2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6A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D2772" w:rsidRPr="009D27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Понятие о культуре. Духовная культура личности и общества, ее значение в общественной жизни. Культура народная, массовая и элитарная. Экранная культура – продукт информационного общества. Особенности молодежной субкультуры. Проблемы духовного кризиса и духовного поиска в молодежной среде. Формирование ценностных установок, идеалов, нравственных ориентиров. Взаимодействие и взаимосвязь различных культур.</w:t>
      </w:r>
    </w:p>
    <w:p w:rsidR="009D2772" w:rsidRPr="009D2772" w:rsidRDefault="009D2772" w:rsidP="009D2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27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Культура общения, труда, учебы, поведения в обществе.</w:t>
      </w:r>
    </w:p>
    <w:p w:rsidR="008D73FF" w:rsidRDefault="009D2772" w:rsidP="009D27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 w:rsidRPr="009D27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Этикет. Учреждения культуры. Государственные гарантии свободы доступа к культурным ценностям</w:t>
      </w:r>
      <w:proofErr w:type="gramStart"/>
      <w:r w:rsidRPr="009D27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FE6092" w:rsidRPr="00821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E6092" w:rsidRPr="008212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gramEnd"/>
    </w:p>
    <w:sectPr w:rsidR="008D73FF" w:rsidSect="00924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558D"/>
    <w:rsid w:val="003A5DC1"/>
    <w:rsid w:val="006B532E"/>
    <w:rsid w:val="00924C4F"/>
    <w:rsid w:val="009D2772"/>
    <w:rsid w:val="00D12339"/>
    <w:rsid w:val="00D4558D"/>
    <w:rsid w:val="00E025E3"/>
    <w:rsid w:val="00EE0DBC"/>
    <w:rsid w:val="00FE6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5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2020-01-26T09:10:00Z</dcterms:created>
  <dcterms:modified xsi:type="dcterms:W3CDTF">2020-01-26T09:26:00Z</dcterms:modified>
</cp:coreProperties>
</file>