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360"/>
        <w:ind w:right="14" w:left="0" w:firstLine="709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Александрова И.А., Грищенко О.В.</w:t>
      </w:r>
    </w:p>
    <w:p>
      <w:pPr>
        <w:spacing w:before="0" w:after="200" w:line="360"/>
        <w:ind w:right="14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Сетевая форма реализации образовательных программ с участием работодателей.</w:t>
      </w:r>
    </w:p>
    <w:p>
      <w:pPr>
        <w:spacing w:before="0" w:after="200" w:line="360"/>
        <w:ind w:right="14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Повышение качества среднего профессионального образования связано в том числе с тем, насколько тесно взаимодействуют профессиональные образовательные организации с отраслевыми работодателями-партнерами.   Вовлечение работодателей в процесс реализации образовательных программ является одной из важнейших задач, стоящих перед системой профессионального образования. За последние два десятилетия накоплен значительный опыт в области социального партнерства в условиях, когда работодатели являются преимущественно частными компаниями, а система образования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государственной.  </w:t>
      </w:r>
    </w:p>
    <w:p>
      <w:pPr>
        <w:spacing w:before="0" w:after="200" w:line="360"/>
        <w:ind w:right="0" w:left="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Тесное взаимодействие между профессиональными образовательными организациями (далее ПОО) и работодателями ранее в СССР позволял выпускать квалифицированных специалистов под нужды народного хозяйства. Это достигалось за счет тесной связи ПОО и предприятий и подчинения одним и тем же отраслевым министерствам. В современной России ситуация принципиально иная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ПОО являются в основном государственными и находятся в ведении органов исполнительной власти в сфере образования субъектов РФ, а предприятия являются частными. Это создает необходимость выстраивать взаимоотношения на основе добровольного и взаимовыгодного участия.</w:t>
      </w:r>
    </w:p>
    <w:p>
      <w:pPr>
        <w:spacing w:before="0" w:after="20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 последние более чем 20 лет выработаны разнообразные формы взаимоотношений между ПОО и работодателями, которые называют социальным партнерством. Среди них можно выделить предоставление работодателями мест для производственной практики, руководство дипломными проектами, участие в наблюдательных советах ПОО, стажировки преподавателей на предприятии, иногда спонсорство и пожертвования на ремонт и прочие нужды ПОО, передача оборудования, проведение учебных экскурсий на предприятии и т.д. Данное взаимодействие оформляется в виде договоров о сотрудничестве, а зачастую носит неформальный характер. Для предприятий любые затраты на социальное партнерство осуществляются из прибыли и рассматриваются во многом, как часть корпоративной социальной ответственности, а не инвестирование в кадровый потенциал компании.</w:t>
      </w:r>
    </w:p>
    <w:p>
      <w:pPr>
        <w:spacing w:before="0" w:after="200" w:line="360"/>
        <w:ind w:right="7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статье 15 Закона об образовании устанавливается новое нормативное основание для взаимодействия ПОО и работодателей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сетевая форма реализации образовательной программы. Она предполагает использование ресурсов (кадровых, материальных, информационных) нескольких организаций при реализации образовательной программы.</w:t>
      </w:r>
    </w:p>
    <w:p>
      <w:pPr>
        <w:spacing w:before="0" w:after="200" w:line="360"/>
        <w:ind w:right="7" w:left="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 рис. 1 изображена схема сетевого взаимодействия ПОО и предприятия. Между ПОО и предприятием заключается договор, который закрепляет распределение обязанностей между ними, порядок реализации программы, объем используемых ресурсов каждым участником, статус обучающегося на предприятии. Организации, участвующие в сетевом взаимодействии, совместно разрабатывают и утверждают образовательные программы. </w:t>
      </w:r>
      <w:r>
        <w:object w:dxaOrig="8980" w:dyaOrig="4158">
          <v:rect xmlns:o="urn:schemas-microsoft-com:office:office" xmlns:v="urn:schemas-microsoft-com:vml" id="rectole0000000000" style="width:449.000000pt;height:207.9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7" w:after="200" w:line="360"/>
        <w:ind w:right="22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Для системы СПО наиболее востребованной является модель участия ПОО с предприятием, или несколькими предприятиями. В этом случае ПОО отвечает за теоретическую подготовку, а предприятие, обладающее необходимой материальной базой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 практическую подготовку.</w:t>
      </w:r>
    </w:p>
    <w:p>
      <w:pPr>
        <w:spacing w:before="0" w:after="200" w:line="360"/>
        <w:ind w:right="0" w:left="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Финансирование сетевых программ при условии реализации программ за счет бюджета осуществляется через государственное задание. Согласно п. 2 ст. 99 закона об образовании, норматив финансирования должен устанавливаться с учетом сетевой формы, хотя на практике это не ведет к его увеличению. ПОО получает субсидию в рамках государственного задания и по договору о сетевом взаимодействии передает определенную долю предприятию для реализации части образовательной программы. Осложняют реализацию данного процесса отсутствие отработанной методики определения  стоимости реализации разных частей образовательной  программы. Вторая сложность состоит в небольшом размере субсидии, которая не покрывает всех затрат предприятия в рамках обучения.</w:t>
      </w:r>
    </w:p>
    <w:p>
      <w:pPr>
        <w:spacing w:before="0" w:after="200" w:line="360"/>
        <w:ind w:right="14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Сетевая форма реализации программы, описанная в законе, является перспективной для повсеместного внедрения благодаря возможности вовлечения работодателей в образовательный процесс.  </w:t>
      </w:r>
    </w:p>
    <w:p>
      <w:pPr>
        <w:spacing w:before="0" w:after="200" w:line="360"/>
        <w:ind w:right="7" w:left="36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Обучение на предприятии должно осуществляться практикующими специалистами с соответствующей педагогической подготовкой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наставниками. Обучение наставников может быть по договору о сетевой форме реализации программы ответственностью ПОО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соответствующие средства могут быть предусмотрены в рамках субсидий на реализацию образовательных программ. Организация в свою очередь берет на себя обязательство стимулировать наставников путем установления надбавок к зарплате. Эти меры могут быть закреплены Положением о наставничестве на разных уровнях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федеральном, региональном и местном.</w:t>
      </w:r>
    </w:p>
    <w:p>
      <w:pPr>
        <w:spacing w:before="0" w:after="200" w:line="360"/>
        <w:ind w:right="0" w:left="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Существуют разнообразные практики сетевого взаимодействия ПОО и работодателей. Крупные предприятия, создают в структуре компаний учебные подразделения. Студенты из ПОО сначала проходят учебную практику и даже осваивают часть теоретического материала в этих центрах, и только после этого допускаются до производственного оборудования. Однако большинство работодателей неохотно идут на контакт с ПОО. Существует проблема подготовки кадров для малого и среднего бизнеса. Необходимо развивать работу на основе договоров сетевого взаимодействия с  целой сетью небольших компаний, которые могут принять у себя по несколько студентов. А ПОО со своей стороны могут помочь им создать необходимые для обучения условия, в том числе в части обучения наставников. Такая форма взаимодействия могла бы быть эффективна в рамках создаваемых специализированных научно-производственных территорий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технополисов и технопарков, на территории которых работают небольшие высокотехнологичные производственные и исследовательские компании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  <w:vertAlign w:val="superscript"/>
        </w:rPr>
        <w:t xml:space="preserve">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200" w:line="360"/>
        <w:ind w:right="14" w:left="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Сетевая форма реализации образовательных программ в случае снятия противоречий в нормативных актах и изменения в налоговом законодательстве может стать одной из наиболее распространенных форм взаимодействия предприятий и ПОО. Участие работодателей на всех этапах реализации программ позволит выйти на новый уровень сотрудничества, когда ПОО не будут рассматриваться как дотационные центры, нуждающиеся в благотворительности, а выступят в роли полноправных партнеров предприятий в роли поставщиков квалифицированных кадров.</w:t>
      </w:r>
    </w:p>
    <w:p>
      <w:pPr>
        <w:spacing w:before="223" w:after="200" w:line="360"/>
        <w:ind w:right="0" w:left="18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Библиографический список:</w:t>
      </w:r>
    </w:p>
    <w:p>
      <w:pPr>
        <w:numPr>
          <w:ilvl w:val="0"/>
          <w:numId w:val="15"/>
        </w:numPr>
        <w:tabs>
          <w:tab w:val="left" w:pos="367" w:leader="none"/>
        </w:tabs>
        <w:spacing w:before="0" w:after="0" w:line="360"/>
        <w:ind w:right="7" w:left="7" w:firstLine="709"/>
        <w:jc w:val="both"/>
        <w:rPr>
          <w:rFonts w:ascii="Times New Roman" w:hAnsi="Times New Roman" w:cs="Times New Roman" w:eastAsia="Times New Roman"/>
          <w:color w:val="auto"/>
          <w:spacing w:val="-2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Большаков А.П. Государственно-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8"/>
          <w:shd w:fill="FFFFFF" w:val="clear"/>
        </w:rPr>
        <w:t xml:space="preserve">частное партнерство в колледже / Про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фессиональное образование и рынок труда. - 2015.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5/6.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С. 6-9.</w:t>
      </w:r>
    </w:p>
    <w:p>
      <w:pPr>
        <w:numPr>
          <w:ilvl w:val="0"/>
          <w:numId w:val="15"/>
        </w:numPr>
        <w:tabs>
          <w:tab w:val="left" w:pos="367" w:leader="none"/>
        </w:tabs>
        <w:spacing w:before="0" w:after="0" w:line="360"/>
        <w:ind w:right="14" w:left="7" w:firstLine="709"/>
        <w:jc w:val="both"/>
        <w:rPr>
          <w:rFonts w:ascii="Times New Roman" w:hAnsi="Times New Roman" w:cs="Times New Roman" w:eastAsia="Times New Roman"/>
          <w:color w:val="auto"/>
          <w:spacing w:val="-7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Михеева С.А., Уклечев О.Ю. Новая модель профессионального обучения: опыт КАМАЗа // Профессиональное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образование. Столица.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2015.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-4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С. 2-7.</w:t>
      </w:r>
    </w:p>
    <w:p>
      <w:pPr>
        <w:spacing w:before="0" w:after="200" w:line="360"/>
        <w:ind w:right="0" w:left="22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Методические рекомендации по 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8"/>
          <w:shd w:fill="FFFFFF" w:val="clear"/>
        </w:rPr>
        <w:t xml:space="preserve">реализации дуальной модели подготов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ки высококвалифицированных рабочих кадров // АСИ, Минобрнауки России, ФИРО.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М., 2015.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num w:numId="15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