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Технологическая карта урока английского языка на основании </w:t>
      </w:r>
      <w:r>
        <w:rPr>
          <w:rFonts w:ascii="Times New Roman" w:hAnsi="Times New Roman"/>
          <w:sz w:val="28"/>
        </w:rPr>
        <w:t>примерной рабочей программы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ООО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УМК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Spotlight</w:t>
      </w:r>
      <w:r>
        <w:rPr>
          <w:rFonts w:ascii="Times New Roman" w:hAnsi="Times New Roman"/>
          <w:sz w:val="28"/>
        </w:rPr>
        <w:t>-6</w:t>
      </w:r>
      <w:r>
        <w:rPr>
          <w:rFonts w:ascii="Times New Roman" w:hAnsi="Times New Roman"/>
          <w:sz w:val="28"/>
        </w:rPr>
        <w:t>.</w:t>
      </w:r>
    </w:p>
    <w:p w14:paraId="02000000">
      <w:pPr>
        <w:spacing w:after="0" w:line="36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Тема: 5с </w:t>
      </w:r>
      <w:r>
        <w:rPr>
          <w:rFonts w:ascii="Times New Roman" w:hAnsi="Times New Roman"/>
          <w:b w:val="1"/>
          <w:sz w:val="28"/>
        </w:rPr>
        <w:t>Special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days</w:t>
      </w:r>
    </w:p>
    <w:p w14:paraId="03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Цель урока:</w:t>
      </w:r>
      <w:r>
        <w:rPr>
          <w:rFonts w:ascii="Times New Roman" w:hAnsi="Times New Roman"/>
          <w:sz w:val="28"/>
        </w:rPr>
        <w:t xml:space="preserve"> развитие социокультурной, коммуникативной и информационной компетенций; развитие лексических навыков по теме «Праздники», навыков аудирования, поискового чтения и монологической речи.</w:t>
      </w:r>
    </w:p>
    <w:p w14:paraId="04000000">
      <w:pPr>
        <w:spacing w:after="0" w:line="36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Задачи урока:</w:t>
      </w:r>
    </w:p>
    <w:p w14:paraId="05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>Практическая:</w:t>
      </w:r>
      <w:r>
        <w:rPr>
          <w:rFonts w:ascii="Times New Roman" w:hAnsi="Times New Roman"/>
          <w:sz w:val="28"/>
        </w:rPr>
        <w:t xml:space="preserve"> развивать умения аудирования с выборочным пониманием, поискового чтения и монологической речи; совершенствовать навыки УУД в развитии умений решения коммуникативной задачи.</w:t>
      </w:r>
    </w:p>
    <w:p w14:paraId="06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>Образовательная:</w:t>
      </w:r>
      <w:r>
        <w:rPr>
          <w:rFonts w:ascii="Times New Roman" w:hAnsi="Times New Roman"/>
          <w:sz w:val="28"/>
        </w:rPr>
        <w:t xml:space="preserve"> активизировать ранее изученную тематическую лексику; совершенствовать лексические и грамматические умения.</w:t>
      </w:r>
    </w:p>
    <w:p w14:paraId="07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>Воспитательная:</w:t>
      </w:r>
      <w:r>
        <w:rPr>
          <w:rFonts w:ascii="Times New Roman" w:hAnsi="Times New Roman"/>
          <w:sz w:val="28"/>
        </w:rPr>
        <w:t xml:space="preserve"> воспитать уважение к традициям и обычаям как части культуры разных стран мира; активизировать познавательную инициативу обучающихся и формировать их социокультурную компетентность.</w:t>
      </w:r>
    </w:p>
    <w:p w14:paraId="08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>Развивающая:</w:t>
      </w:r>
      <w:r>
        <w:rPr>
          <w:rFonts w:ascii="Times New Roman" w:hAnsi="Times New Roman"/>
          <w:sz w:val="28"/>
        </w:rPr>
        <w:t xml:space="preserve"> развивать учебно-организационные умения и навыки; развивать способность к рефлексии как важнейшей составляющей умения учиться.</w:t>
      </w:r>
    </w:p>
    <w:p w14:paraId="09000000">
      <w:pPr>
        <w:spacing w:after="0" w:line="36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Планируемые результаты:</w:t>
      </w:r>
    </w:p>
    <w:p w14:paraId="0A000000">
      <w:pPr>
        <w:spacing w:after="0" w:line="36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1"/>
          <w:sz w:val="28"/>
        </w:rPr>
        <w:t>Личностные:</w:t>
      </w:r>
      <w:r>
        <w:rPr>
          <w:rFonts w:ascii="Times New Roman" w:hAnsi="Times New Roman"/>
          <w:sz w:val="28"/>
        </w:rPr>
        <w:t xml:space="preserve">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осприимчивость к разным видам искусства, традициям и творчеству своего и других народов</w:t>
      </w:r>
      <w:r>
        <w:rPr>
          <w:rFonts w:ascii="Times New Roman" w:hAnsi="Times New Roman"/>
          <w:color w:val="000000"/>
          <w:sz w:val="28"/>
        </w:rPr>
        <w:t>.</w:t>
      </w:r>
    </w:p>
    <w:p w14:paraId="0B000000">
      <w:pPr>
        <w:spacing w:after="0" w:line="36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1"/>
          <w:color w:val="000000"/>
          <w:sz w:val="28"/>
        </w:rPr>
        <w:t>Метапредметные: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0C000000">
      <w:pPr>
        <w:spacing w:after="0" w:line="36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</w:t>
      </w:r>
      <w:r>
        <w:rPr>
          <w:rFonts w:ascii="Times New Roman" w:hAnsi="Times New Roman"/>
          <w:color w:val="000000"/>
          <w:sz w:val="28"/>
        </w:rPr>
        <w:t>азовые логические действия: делать выводы с использованием дедуктивных и индуктивных умозаключений, умозаключений по аналогии, формулировать гипотезы о взаимосвязях</w:t>
      </w:r>
      <w:r>
        <w:rPr>
          <w:rFonts w:ascii="Times New Roman" w:hAnsi="Times New Roman"/>
          <w:color w:val="000000"/>
          <w:sz w:val="28"/>
        </w:rPr>
        <w:t xml:space="preserve">; </w:t>
      </w:r>
    </w:p>
    <w:p w14:paraId="0D000000">
      <w:pPr>
        <w:spacing w:after="0" w:line="36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</w:t>
      </w:r>
      <w:r>
        <w:rPr>
          <w:rFonts w:ascii="Times New Roman" w:hAnsi="Times New Roman"/>
          <w:color w:val="000000"/>
          <w:sz w:val="28"/>
        </w:rPr>
        <w:t>азовые исследовательские действия: формулировать гипотезу об истинности собственных суждений и суждений других, аргументировать свою позицию, мнение</w:t>
      </w:r>
      <w:r>
        <w:rPr>
          <w:rFonts w:ascii="Times New Roman" w:hAnsi="Times New Roman"/>
          <w:color w:val="000000"/>
          <w:sz w:val="28"/>
        </w:rPr>
        <w:t xml:space="preserve">; </w:t>
      </w:r>
    </w:p>
    <w:p w14:paraId="0E000000">
      <w:pPr>
        <w:spacing w:after="0" w:line="36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>абота с информацией: применять различные методы, инструменты и запросы при поиске и отборе информации</w:t>
      </w:r>
      <w:r>
        <w:rPr>
          <w:rFonts w:ascii="Times New Roman" w:hAnsi="Times New Roman"/>
          <w:color w:val="000000"/>
          <w:sz w:val="28"/>
        </w:rPr>
        <w:t>; к</w:t>
      </w:r>
      <w:r>
        <w:rPr>
          <w:rFonts w:ascii="Times New Roman" w:hAnsi="Times New Roman"/>
          <w:color w:val="000000"/>
          <w:sz w:val="28"/>
        </w:rPr>
        <w:t>оммуникативные действия: выражать себя (свою точку зрения) в устных и письменных текстах</w:t>
      </w:r>
      <w:r>
        <w:rPr>
          <w:rFonts w:ascii="Times New Roman" w:hAnsi="Times New Roman"/>
          <w:color w:val="000000"/>
          <w:sz w:val="28"/>
        </w:rPr>
        <w:t xml:space="preserve">; </w:t>
      </w:r>
    </w:p>
    <w:p w14:paraId="0F000000">
      <w:pPr>
        <w:spacing w:after="0" w:line="36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>егулятивные действия: владеть способами самоконтроля, самомотивации и рефлексии</w:t>
      </w:r>
      <w:r>
        <w:rPr>
          <w:rFonts w:ascii="Times New Roman" w:hAnsi="Times New Roman"/>
          <w:color w:val="000000"/>
          <w:sz w:val="28"/>
        </w:rPr>
        <w:t>.</w:t>
      </w:r>
    </w:p>
    <w:p w14:paraId="10000000">
      <w:pPr>
        <w:spacing w:after="0" w:line="360" w:lineRule="auto"/>
        <w:ind/>
        <w:jc w:val="both"/>
        <w:rPr>
          <w:rFonts w:ascii="Times New Roman" w:hAnsi="Times New Roman"/>
          <w:i w:val="1"/>
          <w:color w:val="000000"/>
          <w:sz w:val="28"/>
        </w:rPr>
      </w:pPr>
      <w:r>
        <w:rPr>
          <w:rFonts w:ascii="Times New Roman" w:hAnsi="Times New Roman"/>
          <w:i w:val="1"/>
          <w:color w:val="000000"/>
          <w:sz w:val="28"/>
        </w:rPr>
        <w:t>Предметные:</w:t>
      </w:r>
    </w:p>
    <w:p w14:paraId="11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оспринимать на слух и понимать несложные адаптированные  аутентичные тексты, содержащие отдельные незнакомые слова</w:t>
      </w:r>
      <w:r>
        <w:rPr>
          <w:rFonts w:ascii="Times New Roman" w:hAnsi="Times New Roman"/>
          <w:sz w:val="28"/>
        </w:rPr>
        <w:t>;</w:t>
      </w:r>
    </w:p>
    <w:p w14:paraId="12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</w:t>
      </w:r>
      <w:r>
        <w:rPr>
          <w:rFonts w:ascii="Times New Roman" w:hAnsi="Times New Roman"/>
          <w:sz w:val="28"/>
        </w:rPr>
        <w:t>итать и понимать несложные адаптированные аутентичные тексты, содержащие отдельные незнакомые слова</w:t>
      </w:r>
      <w:r>
        <w:rPr>
          <w:rFonts w:ascii="Times New Roman" w:hAnsi="Times New Roman"/>
          <w:sz w:val="28"/>
        </w:rPr>
        <w:t>;</w:t>
      </w:r>
    </w:p>
    <w:p w14:paraId="13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оздавать небольшое письменное высказывание с опорой на образец, план, ключевые слова</w:t>
      </w:r>
      <w:r>
        <w:rPr>
          <w:rFonts w:ascii="Times New Roman" w:hAnsi="Times New Roman"/>
          <w:sz w:val="28"/>
        </w:rPr>
        <w:t>;</w:t>
      </w:r>
    </w:p>
    <w:p w14:paraId="14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оздавать разные виды монологических высказываний (описание, в том числе характеристика; повествование /сообщение) с вербальными и/ или зрительными опорами в рамках тематического содержания речи</w:t>
      </w:r>
      <w:r>
        <w:rPr>
          <w:rFonts w:ascii="Times New Roman" w:hAnsi="Times New Roman"/>
          <w:sz w:val="28"/>
        </w:rPr>
        <w:t>;</w:t>
      </w:r>
    </w:p>
    <w:p w14:paraId="15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ладеть социокультурными знаниями и навыками</w:t>
      </w:r>
      <w:r>
        <w:rPr>
          <w:rFonts w:ascii="Times New Roman" w:hAnsi="Times New Roman"/>
          <w:sz w:val="28"/>
        </w:rPr>
        <w:t>.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458"/>
        <w:gridCol w:w="1339"/>
        <w:gridCol w:w="1320"/>
        <w:gridCol w:w="1320"/>
        <w:gridCol w:w="1240"/>
        <w:gridCol w:w="1643"/>
        <w:gridCol w:w="1251"/>
      </w:tblGrid>
      <w:tr>
        <w:tc>
          <w:tcPr>
            <w:tcW w:type="dxa" w:w="14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6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color w:val="000000"/>
                <w:sz w:val="28"/>
              </w:rPr>
              <w:t>Дидактическая структура урока</w:t>
            </w:r>
          </w:p>
        </w:tc>
        <w:tc>
          <w:tcPr>
            <w:tcW w:type="dxa" w:w="13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7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Деятельность учителя</w:t>
            </w:r>
          </w:p>
        </w:tc>
        <w:tc>
          <w:tcPr>
            <w:tcW w:type="dxa" w:w="13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8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Формы организации учебной деятельности</w:t>
            </w:r>
          </w:p>
        </w:tc>
        <w:tc>
          <w:tcPr>
            <w:tcW w:type="dxa" w:w="13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9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Содержание учебной деятельности</w:t>
            </w:r>
          </w:p>
        </w:tc>
        <w:tc>
          <w:tcPr>
            <w:tcW w:type="dxa" w:w="413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A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Планируемые результаты</w:t>
            </w:r>
          </w:p>
        </w:tc>
      </w:tr>
      <w:tr>
        <w:tc>
          <w:tcPr>
            <w:tcW w:type="dxa" w:w="14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3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3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3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B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Личностные</w:t>
            </w:r>
          </w:p>
        </w:tc>
        <w:tc>
          <w:tcPr>
            <w:tcW w:type="dxa" w:w="1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C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Метапредметные</w:t>
            </w:r>
          </w:p>
        </w:tc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D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Предметные</w:t>
            </w:r>
          </w:p>
        </w:tc>
      </w:tr>
      <w:t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E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Мотивационно-целевой этап</w:t>
            </w:r>
          </w:p>
        </w:tc>
        <w:tc>
          <w:tcPr>
            <w:tcW w:type="dxa" w:w="1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F000000">
            <w:pPr>
              <w:ind/>
              <w:jc w:val="both"/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Проверка готовности к уроку. Учитель приветствует учащихся, создает положительный интерес к уроку и иноязычную атмосферу, с помощью заголовка помогая учащимся определить тему урока.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0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Фронтальная работа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1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Понимание задачи урока, умение высказаться по теме урока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2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Способность формирования новых знаний, в том числе способность формулировать идеи, понятия и гипотезы об объектах и явлениях, в том числе ранее не известных</w:t>
            </w:r>
          </w:p>
        </w:tc>
        <w:tc>
          <w:tcPr>
            <w:tcW w:type="dxa" w:w="1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3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Базовые исследовательские действия: формулировать гипотезу об истинности собственных суждений и суждений других, аргументировать свою позицию, мнение</w:t>
            </w:r>
          </w:p>
        </w:tc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4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Владеть социокультурными знаниями и навыками</w:t>
            </w:r>
          </w:p>
        </w:tc>
      </w:tr>
      <w:t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5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Этап актуализации знаний</w:t>
            </w:r>
          </w:p>
        </w:tc>
        <w:tc>
          <w:tcPr>
            <w:tcW w:type="dxa" w:w="1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6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Учитель предлагает выполнить аудирование с выборочным пониманием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7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Индивидуальная работа 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8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Понимание учебной задачи, предъявленной учителем, прослушивание текста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9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Восприимчивость к разным видам искусства, традициям и творчеству своего и других народов</w:t>
            </w:r>
          </w:p>
        </w:tc>
        <w:tc>
          <w:tcPr>
            <w:tcW w:type="dxa" w:w="1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A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Базовые логические действия: делать выводы с использованием дедуктивных и индуктивных умозаключений, умозаключений по аналогии, формулировать гипотезы о взаимосвязях</w:t>
            </w:r>
          </w:p>
        </w:tc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B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Воспринимать на слух и понимать несложные адаптированные  аутентичные тексты, содержащие отдельные незнакомые слова</w:t>
            </w:r>
          </w:p>
        </w:tc>
      </w:tr>
      <w:t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C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Этап изучения нового знания</w:t>
            </w:r>
          </w:p>
        </w:tc>
        <w:tc>
          <w:tcPr>
            <w:tcW w:type="dxa" w:w="1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D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Учитель предлагает провести поисковое чтение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E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Парная работа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F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Выполнение учебной задачи, работа с текстом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0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Овладение языковой и читательской культурой как средством познания мира</w:t>
            </w:r>
          </w:p>
        </w:tc>
        <w:tc>
          <w:tcPr>
            <w:tcW w:type="dxa" w:w="1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1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Работа с информацией: применять различные методы, инструменты и запросы при поиске и отборе информации</w:t>
            </w:r>
          </w:p>
        </w:tc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2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Читать и понимать несложные адаптированные аутентичные тексты, содержащие отдельные незнакомые слова</w:t>
            </w:r>
          </w:p>
        </w:tc>
      </w:tr>
      <w:t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3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Этап самоконтроля</w:t>
            </w:r>
          </w:p>
        </w:tc>
        <w:tc>
          <w:tcPr>
            <w:tcW w:type="dxa" w:w="1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4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Учитель помогает составить тезисы для устного выступления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5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Групповая работа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6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Работа с планом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7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Овладение основными навыками исследовательской деятельности, установка на осмысление опыта, наблюдений и поступков</w:t>
            </w:r>
          </w:p>
        </w:tc>
        <w:tc>
          <w:tcPr>
            <w:tcW w:type="dxa" w:w="1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8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Коммуникативные действия: выражать себя (свою точку зрения) в устных и письменных текстах</w:t>
            </w:r>
          </w:p>
        </w:tc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9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Создавать небольшое письменное высказывание с опорой на образец, план, ключевые слова</w:t>
            </w:r>
          </w:p>
        </w:tc>
      </w:tr>
      <w:tr>
        <w:tc>
          <w:tcPr>
            <w:tcW w:type="dxa" w:w="1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A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Этап рефлексии учебной деятельности</w:t>
            </w:r>
          </w:p>
        </w:tc>
        <w:tc>
          <w:tcPr>
            <w:tcW w:type="dxa" w:w="1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B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Учитель просит учеников из пар высказаться по теме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C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Фронтальная работа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D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Монологическое высказывание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E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Сформированность навыка рефлексии</w:t>
            </w:r>
          </w:p>
        </w:tc>
        <w:tc>
          <w:tcPr>
            <w:tcW w:type="dxa" w:w="1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F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Регулятивные действия: владеть способами самоконтроля, самомотивации и рефлексии</w:t>
            </w:r>
          </w:p>
        </w:tc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0000000">
            <w:pPr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Создавать разные виды монологических высказываний (описание, в том числе характеристика; повествование /сообщение) с вербальными и/ или зрительными опорами в рамках тематического содержания речи</w:t>
            </w:r>
          </w:p>
        </w:tc>
      </w:tr>
    </w:tbl>
    <w:p w14:paraId="41000000">
      <w:pPr>
        <w:ind/>
        <w:jc w:val="both"/>
        <w:rPr>
          <w:rFonts w:ascii="Times New Roman" w:hAnsi="Times New Roman"/>
          <w:sz w:val="28"/>
        </w:rPr>
      </w:pPr>
    </w:p>
    <w:sectPr>
      <w:pgSz w:h="11906" w:w="16838"/>
      <w:pgMar w:bottom="851" w:footer="709" w:gutter="0" w:header="709" w:left="1134" w:right="567" w:top="170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160" w:line="264" w:lineRule="auto"/>
      <w:ind/>
    </w:pPr>
  </w:style>
  <w:style w:default="1" w:styleId="Style_2_ch" w:type="character">
    <w:name w:val="Normal"/>
    <w:link w:val="Style_2"/>
  </w:style>
  <w:style w:styleId="Style_3" w:type="paragraph">
    <w:name w:val="List Paragraph"/>
    <w:basedOn w:val="Style_2"/>
    <w:link w:val="Style_3_ch"/>
    <w:pPr>
      <w:ind w:firstLine="0" w:left="720"/>
      <w:contextualSpacing w:val="1"/>
    </w:pPr>
  </w:style>
  <w:style w:styleId="Style_3_ch" w:type="character">
    <w:name w:val="List Paragraph"/>
    <w:basedOn w:val="Style_2_ch"/>
    <w:link w:val="Style_3"/>
  </w:style>
  <w:style w:styleId="Style_4" w:type="paragraph">
    <w:name w:val="toc 2"/>
    <w:next w:val="Style_2"/>
    <w:link w:val="Style_4_ch"/>
    <w:uiPriority w:val="39"/>
    <w:pPr>
      <w:ind w:firstLine="0" w:left="200"/>
    </w:pPr>
  </w:style>
  <w:style w:styleId="Style_4_ch" w:type="character">
    <w:name w:val="toc 2"/>
    <w:link w:val="Style_4"/>
  </w:style>
  <w:style w:styleId="Style_5" w:type="paragraph">
    <w:name w:val="toc 4"/>
    <w:next w:val="Style_2"/>
    <w:link w:val="Style_5_ch"/>
    <w:uiPriority w:val="39"/>
    <w:pPr>
      <w:ind w:firstLine="0" w:left="600"/>
    </w:pPr>
  </w:style>
  <w:style w:styleId="Style_5_ch" w:type="character">
    <w:name w:val="toc 4"/>
    <w:link w:val="Style_5"/>
  </w:style>
  <w:style w:styleId="Style_6" w:type="paragraph">
    <w:name w:val="toc 6"/>
    <w:next w:val="Style_2"/>
    <w:link w:val="Style_6_ch"/>
    <w:uiPriority w:val="39"/>
    <w:pPr>
      <w:ind w:firstLine="0" w:left="1000"/>
    </w:pPr>
  </w:style>
  <w:style w:styleId="Style_6_ch" w:type="character">
    <w:name w:val="toc 6"/>
    <w:link w:val="Style_6"/>
  </w:style>
  <w:style w:styleId="Style_7" w:type="paragraph">
    <w:name w:val="toc 7"/>
    <w:next w:val="Style_2"/>
    <w:link w:val="Style_7_ch"/>
    <w:uiPriority w:val="39"/>
    <w:pPr>
      <w:ind w:firstLine="0" w:left="1200"/>
    </w:pPr>
  </w:style>
  <w:style w:styleId="Style_7_ch" w:type="character">
    <w:name w:val="toc 7"/>
    <w:link w:val="Style_7"/>
  </w:style>
  <w:style w:styleId="Style_8" w:type="paragraph">
    <w:name w:val="heading 3"/>
    <w:next w:val="Style_2"/>
    <w:link w:val="Style_8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8_ch" w:type="character">
    <w:name w:val="heading 3"/>
    <w:link w:val="Style_8"/>
    <w:rPr>
      <w:rFonts w:ascii="XO Thames" w:hAnsi="XO Thames"/>
      <w:b w:val="1"/>
      <w:i w:val="1"/>
      <w:color w:val="000000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</w:pPr>
  </w:style>
  <w:style w:styleId="Style_10_ch" w:type="character">
    <w:name w:val="toc 3"/>
    <w:link w:val="Style_10"/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1_ch" w:type="character">
    <w:name w:val="heading 5"/>
    <w:link w:val="Style_11"/>
    <w:rPr>
      <w:rFonts w:ascii="XO Thames" w:hAnsi="XO Thames"/>
      <w:b w:val="1"/>
      <w:color w:val="000000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/>
      <w:jc w:val="left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</w:pPr>
    <w:rPr>
      <w:rFonts w:ascii="XO Thames" w:hAnsi="XO Thames"/>
      <w:b w:val="1"/>
    </w:rPr>
  </w:style>
  <w:style w:styleId="Style_15_ch" w:type="character">
    <w:name w:val="toc 1"/>
    <w:link w:val="Style_15"/>
    <w:rPr>
      <w:rFonts w:ascii="XO Thames" w:hAnsi="XO Thames"/>
      <w:b w:val="1"/>
    </w:rPr>
  </w:style>
  <w:style w:styleId="Style_16" w:type="paragraph">
    <w:name w:val="Header and Footer"/>
    <w:link w:val="Style_16_ch"/>
    <w:pPr>
      <w:spacing w:line="360" w:lineRule="auto"/>
      <w:ind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2"/>
    <w:link w:val="Style_17_ch"/>
    <w:uiPriority w:val="39"/>
    <w:pPr>
      <w:ind w:firstLine="0" w:left="1600"/>
    </w:pPr>
  </w:style>
  <w:style w:styleId="Style_17_ch" w:type="character">
    <w:name w:val="toc 9"/>
    <w:link w:val="Style_17"/>
  </w:style>
  <w:style w:styleId="Style_18" w:type="paragraph">
    <w:name w:val="toc 8"/>
    <w:next w:val="Style_2"/>
    <w:link w:val="Style_18_ch"/>
    <w:uiPriority w:val="39"/>
    <w:pPr>
      <w:ind w:firstLine="0" w:left="1400"/>
    </w:pPr>
  </w:style>
  <w:style w:styleId="Style_18_ch" w:type="character">
    <w:name w:val="toc 8"/>
    <w:link w:val="Style_18"/>
  </w:style>
  <w:style w:styleId="Style_19" w:type="paragraph">
    <w:name w:val="toc 5"/>
    <w:next w:val="Style_2"/>
    <w:link w:val="Style_19_ch"/>
    <w:uiPriority w:val="39"/>
    <w:pPr>
      <w:ind w:firstLine="0" w:left="800"/>
    </w:pPr>
  </w:style>
  <w:style w:styleId="Style_19_ch" w:type="character">
    <w:name w:val="toc 5"/>
    <w:link w:val="Style_19"/>
  </w:style>
  <w:style w:styleId="Style_20" w:type="paragraph">
    <w:name w:val="Subtitle"/>
    <w:next w:val="Style_2"/>
    <w:link w:val="Style_20_ch"/>
    <w:uiPriority w:val="11"/>
    <w:qFormat/>
    <w:rPr>
      <w:rFonts w:ascii="XO Thames" w:hAnsi="XO Thames"/>
      <w:i w:val="1"/>
      <w:color w:val="616161"/>
      <w:sz w:val="24"/>
    </w:rPr>
  </w:style>
  <w:style w:styleId="Style_20_ch" w:type="character">
    <w:name w:val="Subtitle"/>
    <w:link w:val="Style_20"/>
    <w:rPr>
      <w:rFonts w:ascii="XO Thames" w:hAnsi="XO Thames"/>
      <w:i w:val="1"/>
      <w:color w:val="616161"/>
      <w:sz w:val="24"/>
    </w:rPr>
  </w:style>
  <w:style w:styleId="Style_21" w:type="paragraph">
    <w:name w:val="toc 10"/>
    <w:next w:val="Style_2"/>
    <w:link w:val="Style_21_ch"/>
    <w:uiPriority w:val="39"/>
    <w:pPr>
      <w:ind w:firstLine="0" w:left="1800"/>
    </w:pPr>
  </w:style>
  <w:style w:styleId="Style_21_ch" w:type="character">
    <w:name w:val="toc 10"/>
    <w:link w:val="Style_21"/>
  </w:style>
  <w:style w:styleId="Style_22" w:type="paragraph">
    <w:name w:val="Title"/>
    <w:next w:val="Style_2"/>
    <w:link w:val="Style_22_ch"/>
    <w:uiPriority w:val="10"/>
    <w:qFormat/>
    <w:rPr>
      <w:rFonts w:ascii="XO Thames" w:hAnsi="XO Thames"/>
      <w:b w:val="1"/>
      <w:sz w:val="52"/>
    </w:rPr>
  </w:style>
  <w:style w:styleId="Style_22_ch" w:type="character">
    <w:name w:val="Title"/>
    <w:link w:val="Style_22"/>
    <w:rPr>
      <w:rFonts w:ascii="XO Thames" w:hAnsi="XO Thames"/>
      <w:b w:val="1"/>
      <w:sz w:val="52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3_ch" w:type="character">
    <w:name w:val="heading 4"/>
    <w:link w:val="Style_23"/>
    <w:rPr>
      <w:rFonts w:ascii="XO Thames" w:hAnsi="XO Thames"/>
      <w:b w:val="1"/>
      <w:color w:val="595959"/>
      <w:sz w:val="26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4_ch" w:type="character">
    <w:name w:val="heading 2"/>
    <w:link w:val="Style_24"/>
    <w:rPr>
      <w:rFonts w:ascii="XO Thames" w:hAnsi="XO Thames"/>
      <w:b w:val="1"/>
      <w:color w:val="00A0FF"/>
      <w:sz w:val="26"/>
    </w:rPr>
  </w:style>
  <w:style w:styleId="Style_25" w:type="table">
    <w:name w:val="Table Grid"/>
    <w:basedOn w:val="Style_1"/>
    <w:rPr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2023-09-12T01:38:14Z</dcterms:modified>
</cp:coreProperties>
</file>