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49" w:rsidRDefault="00974ABD" w:rsidP="00AE4A4A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D51949" w:rsidRDefault="00974ABD" w:rsidP="00AE4A4A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D51949" w:rsidRDefault="00974ABD" w:rsidP="00AE4A4A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D51949" w:rsidRDefault="00D51949" w:rsidP="00AE4A4A">
      <w:pPr>
        <w:spacing w:after="0"/>
        <w:jc w:val="center"/>
        <w:rPr>
          <w:color w:val="002060"/>
        </w:rPr>
      </w:pPr>
    </w:p>
    <w:p w:rsidR="00D51949" w:rsidRDefault="00D51949">
      <w:pPr>
        <w:rPr>
          <w:color w:val="002060"/>
        </w:rPr>
      </w:pPr>
    </w:p>
    <w:p w:rsidR="00D51949" w:rsidRDefault="00D51949">
      <w:pPr>
        <w:jc w:val="center"/>
        <w:rPr>
          <w:color w:val="002060"/>
        </w:rPr>
      </w:pPr>
    </w:p>
    <w:p w:rsidR="00AE4A4A" w:rsidRDefault="00AE4A4A">
      <w:pPr>
        <w:jc w:val="center"/>
        <w:rPr>
          <w:color w:val="002060"/>
        </w:rPr>
      </w:pPr>
    </w:p>
    <w:p w:rsidR="00D51949" w:rsidRPr="00AE4A4A" w:rsidRDefault="00974ABD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AE4A4A">
        <w:rPr>
          <w:rFonts w:ascii="Times New Roman" w:hAnsi="Times New Roman"/>
          <w:color w:val="002060"/>
          <w:sz w:val="36"/>
        </w:rPr>
        <w:t xml:space="preserve">Беседа на тему: </w:t>
      </w:r>
    </w:p>
    <w:p w:rsidR="00D51949" w:rsidRPr="00AE4A4A" w:rsidRDefault="00974ABD">
      <w:pPr>
        <w:pStyle w:val="10"/>
        <w:spacing w:before="0" w:after="0"/>
        <w:jc w:val="center"/>
        <w:rPr>
          <w:rFonts w:ascii="Times New Roman" w:hAnsi="Times New Roman"/>
          <w:color w:val="3C3C3C"/>
          <w:sz w:val="54"/>
        </w:rPr>
      </w:pPr>
      <w:r w:rsidRPr="00AE4A4A">
        <w:rPr>
          <w:rStyle w:val="11"/>
          <w:rFonts w:ascii="Times New Roman" w:hAnsi="Times New Roman"/>
          <w:b/>
          <w:color w:val="C00000"/>
          <w:sz w:val="36"/>
        </w:rPr>
        <w:t xml:space="preserve"> «</w:t>
      </w:r>
      <w:proofErr w:type="spellStart"/>
      <w:r w:rsidRPr="00AE4A4A">
        <w:rPr>
          <w:rStyle w:val="11"/>
          <w:rFonts w:ascii="Times New Roman" w:hAnsi="Times New Roman"/>
          <w:b/>
          <w:color w:val="C00000"/>
          <w:sz w:val="36"/>
        </w:rPr>
        <w:t>Каргопольская</w:t>
      </w:r>
      <w:proofErr w:type="spellEnd"/>
      <w:r w:rsidRPr="00AE4A4A">
        <w:rPr>
          <w:rStyle w:val="11"/>
          <w:rFonts w:ascii="Times New Roman" w:hAnsi="Times New Roman"/>
          <w:b/>
          <w:color w:val="C00000"/>
          <w:sz w:val="36"/>
        </w:rPr>
        <w:t xml:space="preserve"> игрушка»</w:t>
      </w:r>
      <w:r w:rsidRPr="00AE4A4A">
        <w:rPr>
          <w:rFonts w:ascii="Times New Roman" w:hAnsi="Times New Roman"/>
          <w:color w:val="C00000"/>
          <w:sz w:val="36"/>
        </w:rPr>
        <w:t xml:space="preserve">  </w:t>
      </w:r>
    </w:p>
    <w:p w:rsidR="00D51949" w:rsidRDefault="00D51949">
      <w:pPr>
        <w:jc w:val="center"/>
      </w:pPr>
    </w:p>
    <w:p w:rsidR="00D51949" w:rsidRDefault="00974ABD">
      <w:pPr>
        <w:jc w:val="center"/>
      </w:pPr>
      <w:r>
        <w:rPr>
          <w:noProof/>
        </w:rPr>
        <w:drawing>
          <wp:inline distT="0" distB="0" distL="0" distR="0">
            <wp:extent cx="5181600" cy="333756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1816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Default="00D51949">
      <w:pPr>
        <w:jc w:val="center"/>
      </w:pPr>
    </w:p>
    <w:p w:rsidR="00D51949" w:rsidRPr="00AE4A4A" w:rsidRDefault="00D51949">
      <w:pPr>
        <w:rPr>
          <w:rFonts w:ascii="Times New Roman" w:hAnsi="Times New Roman"/>
          <w:color w:val="002060"/>
        </w:rPr>
      </w:pPr>
    </w:p>
    <w:p w:rsidR="00D51949" w:rsidRPr="00AE4A4A" w:rsidRDefault="00974ABD">
      <w:pPr>
        <w:jc w:val="right"/>
        <w:rPr>
          <w:rFonts w:ascii="Times New Roman" w:hAnsi="Times New Roman"/>
          <w:color w:val="002060"/>
          <w:sz w:val="28"/>
        </w:rPr>
      </w:pPr>
      <w:r w:rsidRPr="00AE4A4A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D51949" w:rsidRPr="00AE4A4A" w:rsidRDefault="00974ABD">
      <w:pPr>
        <w:jc w:val="right"/>
        <w:rPr>
          <w:rFonts w:ascii="Times New Roman" w:hAnsi="Times New Roman"/>
          <w:color w:val="002060"/>
          <w:sz w:val="28"/>
        </w:rPr>
      </w:pPr>
      <w:r w:rsidRPr="00AE4A4A">
        <w:rPr>
          <w:rFonts w:ascii="Times New Roman" w:hAnsi="Times New Roman"/>
          <w:color w:val="002060"/>
          <w:sz w:val="28"/>
        </w:rPr>
        <w:t xml:space="preserve">педагог </w:t>
      </w:r>
      <w:r w:rsidRPr="00AE4A4A">
        <w:rPr>
          <w:rFonts w:ascii="Times New Roman" w:hAnsi="Times New Roman"/>
          <w:color w:val="002060"/>
          <w:sz w:val="28"/>
        </w:rPr>
        <w:t>дополнительного образования</w:t>
      </w:r>
    </w:p>
    <w:p w:rsidR="00D51949" w:rsidRPr="00AE4A4A" w:rsidRDefault="00974ABD">
      <w:pPr>
        <w:jc w:val="right"/>
        <w:rPr>
          <w:rFonts w:ascii="Times New Roman" w:hAnsi="Times New Roman"/>
          <w:color w:val="002060"/>
          <w:sz w:val="28"/>
        </w:rPr>
      </w:pPr>
      <w:r w:rsidRPr="00AE4A4A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D51949" w:rsidRDefault="00D51949">
      <w:pPr>
        <w:rPr>
          <w:rFonts w:ascii="Times New Roman" w:hAnsi="Times New Roman"/>
          <w:sz w:val="28"/>
        </w:rPr>
      </w:pPr>
    </w:p>
    <w:p w:rsidR="00AE4A4A" w:rsidRPr="00AE4A4A" w:rsidRDefault="00AE4A4A">
      <w:pPr>
        <w:rPr>
          <w:rFonts w:ascii="Times New Roman" w:hAnsi="Times New Roman"/>
          <w:sz w:val="28"/>
        </w:rPr>
      </w:pPr>
    </w:p>
    <w:p w:rsidR="00D51949" w:rsidRPr="00AE4A4A" w:rsidRDefault="00974ABD">
      <w:pPr>
        <w:jc w:val="center"/>
        <w:rPr>
          <w:rFonts w:ascii="Times New Roman" w:hAnsi="Times New Roman"/>
          <w:color w:val="002060"/>
          <w:sz w:val="28"/>
        </w:rPr>
      </w:pPr>
      <w:r w:rsidRPr="00AE4A4A">
        <w:rPr>
          <w:rFonts w:ascii="Times New Roman" w:hAnsi="Times New Roman"/>
          <w:color w:val="002060"/>
          <w:sz w:val="28"/>
        </w:rPr>
        <w:t>г. Саранск</w:t>
      </w:r>
      <w:r w:rsidRPr="00AE4A4A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развитие чувства прекрасного.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Задачи: </w:t>
      </w:r>
    </w:p>
    <w:p w:rsidR="00D51949" w:rsidRPr="00AE4A4A" w:rsidRDefault="00974ABD" w:rsidP="00AE4A4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человечества.</w:t>
      </w:r>
    </w:p>
    <w:p w:rsidR="00D51949" w:rsidRPr="00AE4A4A" w:rsidRDefault="00974ABD" w:rsidP="00AE4A4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Ознакомление с историей промысла на Руси.</w:t>
      </w:r>
    </w:p>
    <w:p w:rsidR="00D51949" w:rsidRPr="00AE4A4A" w:rsidRDefault="00974ABD" w:rsidP="00AE4A4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Развитие </w:t>
      </w:r>
      <w:proofErr w:type="gramStart"/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творческий</w:t>
      </w:r>
      <w:proofErr w:type="gramEnd"/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потенциала учащихся.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</w:t>
      </w: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орма проведения:</w:t>
      </w: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D51949" w:rsidRPr="00AE4A4A" w:rsidRDefault="00974ABD" w:rsidP="00AE4A4A">
      <w:pPr>
        <w:spacing w:line="36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AE4A4A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Ход занятия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>Каргопольская</w:t>
      </w:r>
      <w:proofErr w:type="spellEnd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 глиняная игрушка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 — традиционный промысел в Архангельской области. О том, сколько лет самой старой фигурке, как в давние времена мастера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лепили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и украшали игрушки и как в </w:t>
      </w:r>
      <w:hyperlink r:id="rId6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Каргополе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 возродилось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ремесло — читайте в нашем материале.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История </w:t>
      </w:r>
      <w:proofErr w:type="spellStart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>каргопольского</w:t>
      </w:r>
      <w:proofErr w:type="spellEnd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 промысла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712720" cy="341376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71272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Гончарный народный промысел в районе Каргополя зародился еще в XI–XIII в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еках: археологи нашли здесь фрагменты посуды и других предметов быта. В этих местах добывали красную глину, она хорошо подходила и для ручной лепки, и для работы на гончарном круге. Своего расцвета это ремесло достигло в XIX веке.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869180" cy="36576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8691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Сначала гончарное дело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 было основным занятием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каргопольских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крестьян и служило лишь дополнительным источником дохода. Мастера садились за круг зимой, когда не нужно было работать в поле. Готовую посуду отвозили на </w:t>
      </w:r>
      <w:hyperlink r:id="rId9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рынки и ярмарки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. За зиму умелый гончар мог сделать от 400 до 800 горшков и выручить за них до 15 рублей — немалую сумму для XIX века.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284220" cy="412242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28422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Посуду в 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делали все — мужчины, женщины,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дети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начиная с 8–9 лет. А из оста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тков глины лепили разные фигурки. Мастера их особо не ценили: стоили такие игрушки очень мало, чаще всего их просто раздаривали детям. Некоторые торговцы расписывали свистульки натуральными красками и использовали как своеобразную рекламу: ребенок, увидев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на прилавке яркую игрушку или услышав переливчатый свист, тянул к ней родителей: «Купи, купи свистульку!» А взрослые заодно могли приобрести и нужный в хозяйстве горшок, квашню или крынку.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Как выглядели средневековые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каргопольские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игрушки, неизвестно. Архе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ологам удалось найти только одну фигурку коня, которую сделали примерно в XV–XVI веках. По ней можно судить лишь о том, что тогда «бобки» (так здесь называют игрушки) не раскрашивались, отличались простой формой и условностью деталей. Первые упоминания о «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классических» фигурках относятся к 70-м годам XIX века.</w:t>
      </w:r>
    </w:p>
    <w:p w:rsidR="00D51949" w:rsidRPr="00AE4A4A" w:rsidRDefault="00D51949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От птицы до кентавра: самые популярные фигурки</w:t>
      </w:r>
    </w:p>
    <w:p w:rsidR="00D51949" w:rsidRPr="00AE4A4A" w:rsidRDefault="00974ABD" w:rsidP="00AE4A4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639291" cy="3427261"/>
            <wp:effectExtent l="19050" t="0" r="8659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2640330" cy="34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Изображали в основном одиночные фигурки: женщин в широких юбках-колоколах, мужчин с окладистыми бородами, домашних и диких животных — оленей, медвед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ей, лошадей, коров, птиц. В начале XX века появились сюжетные глиняные игрушки, которые показывали сценки из деревенской жизни: охоту и рыбалку, стирку белья и работу в кузнице, сбор урожая и </w:t>
      </w:r>
      <w:hyperlink r:id="rId12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праздничные гулянья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287601" cy="2847109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286835" cy="28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Многие фигурки сохраняли оттенок древних верований. Например, женщина с младенцем или птицей в руках напоминала старинные изображения матери-земли, олицетворяла плодородие и достат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ок. Примерно такое же значение имела и фигурка медведя — популярного героя </w:t>
      </w:r>
      <w:hyperlink r:id="rId14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народных сказок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, песен и преданий.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987040" cy="375666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2987040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Некоторые игрушки изображали фантастических существ. Самое известн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ое из них —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Полкан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или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Полихан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некое подобие кентавра, верхняя часть тела у которого человеческая, нижняя — конская (в самых старых вариантах — собачья). В былинах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Полкан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часто фигурировал как добрый </w:t>
      </w:r>
      <w:hyperlink r:id="rId16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богатырь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, защитник слабых, бедных и обиженных.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Другое необычное существо, которое лепили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каргопольские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мастера, —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Тянитолкай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похожий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 двухголового коня.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Одну голову ему красили в черный цвет, другую — в белый, а между н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ими сажали глиняного всадника.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 такую игрушку вкладывали глубокий смысл: белая сторона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Тянитолкая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олицетворяла свет, добро и жизнь; черная — зло, тьму и смерть. Всадник между ними воплощал вечные метания человеческой души, однако некоторые фигурки все же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изображали его прильнувшим к белой половине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Тянитолкая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 — как бы сделавшим выбор.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>Мука, свинец и охра: как лепили и чем украшали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944055" cy="3553691"/>
            <wp:effectExtent l="19050" t="0" r="8695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2942174" cy="355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016008" cy="3706091"/>
            <wp:effectExtent l="1905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3018103" cy="370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Традиционно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каргопольскую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игрушку создавали из цельного небольшого куска глины, мелкие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налепные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детали почти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не использовали. Лепили только руками, без специальных инструментов: гончар проминал глину пальцами, выбирал из нее мелкие камешки и 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непромешанные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комки, чтобы они не испортили готовое изделие.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Вылепленные из глины игрушки оглаживали мокрыми руками, чтобы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убрать неровности и придать окончательную форму. Затем их просушивали на ветру и обжигали в печи. До конца XIX века фигурки почти не раскрашивали, только украшали «обварным» методом: сразу после обжига раскаленное изделие погружали в густой мучной раствор,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мука пригорала к поверхности и оставляла необычные темные разводы.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В конце XIX — начале XX века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каргопольские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игрушки стали лепить иначе. Теперь их нередко создавали по частям, добавляли мелкие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налепные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детали. На смену «обварной» керамике пришла «поливна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я»: перед обжигом изделие обмазывали дегтем и обсыпали свинцовым порошком. При обжиге свинец плавился, и на поверхности глины получалась красивая зеленоватая глазурь. В то же время мастера начали украшать игрушки росписью — мелом, цветной глиной, сажей, ох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рой. Всю фигурку целиком белили, чтобы создать фон, затем намечали лицо или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морду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, расписывали одежду людей или туловище животных красными, зелеными, синими, черными узорами. Элементы орнамента также происходили из древности: например, круги, кресты и стре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лы олицетворяли солнце и тепло, прямые или волнистые линии — воду, колосья, зерна и другие растительные узоры — землю и богатый урожай.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Угасание и возрождение </w:t>
      </w:r>
      <w:proofErr w:type="spellStart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>каргопольского</w:t>
      </w:r>
      <w:proofErr w:type="spellEnd"/>
      <w:r w:rsidRPr="00AE4A4A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 промысла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2743200" cy="345186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274320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Гончарный промысел в окрестностях Каргополя развивался и процветал впл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оть до революции 1917 года. С этого момента он начал постепенно угасать: спрос на продукцию падал, а новая власть не слишком интересовалась сохранением ремесла как культурного наследия. В 1930-х годах почти не осталось мастеров, которые создавали глиняные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игрушки, изготовление посуды прекратилось еще раньше.</w:t>
      </w:r>
    </w:p>
    <w:p w:rsidR="00D51949" w:rsidRPr="00AE4A4A" w:rsidRDefault="00974ABD" w:rsidP="00974AB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484418" cy="2667000"/>
            <wp:effectExtent l="19050" t="0" r="1732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3490501" cy="267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Одним из немногих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каргопольских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мастеров, которые не бросили ремесло в 1930-х годах, был Иван Дружинин из деревни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Гринево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Его игрушки сейчас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считаются классическими: манера их изготовления больше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всего приближена к старинным фигуркам. У них мало деталей, простые и плавные формы, массивное устойчивое основание. Для росписи Дружинин, подобно старинным гончарам, использовал природные красители, поэтому его изделия раскрашены сдержанными, неяркими цвет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ами.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В той же деревне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Гринево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жила и другая известная мастерица —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Ульяна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Бабкина. Она начала лепить игрушки с 15 лет и не оставляла это занятие до самой смерти. В 1950-е годы она оставалась единственным гончаром-игрушечником в окрестностях Каргополя. В раб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отах Бабкиной впервые стали появляться более сложные формы, чем в традиционных фигурках: она создавала групповые сюжетные сценки, придавала игрушкам динамичность и изящество.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Благодаря интересу к работам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Ульяны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Бабкиной в 60-х годах ХХ века началось возрож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дение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каргопольского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промысла. В 1967 году по инициативе Союза художников РСФСР в Каргополе открылся гончарный цех, который вскоре стал филиалом архангельского предприятия народных художественных промыслов «Беломорские узоры». Возглавил новое предприятие А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лександр Шевелёв — потомственный гончар из деревни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Токарево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Новая </w:t>
      </w:r>
      <w:proofErr w:type="spell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каргопольская</w:t>
      </w:r>
      <w:proofErr w:type="spell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игрушка стала более сложной, реалистичной и детализированной. Для росписи стали использовать масляные краски и темперу, чтобы сделать фигурки ярче, но по-прежнему старались ис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пользовать цвета умеренно — иначе готовое изделие выглядело бы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аляповато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D51949" w:rsidRPr="00AE4A4A" w:rsidRDefault="00974ABD" w:rsidP="00AE4A4A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В 2003 году в Каргополе открылся </w:t>
      </w:r>
      <w:hyperlink r:id="rId21" w:history="1">
        <w:r w:rsidRPr="00AE4A4A">
          <w:rPr>
            <w:rFonts w:ascii="Times New Roman" w:hAnsi="Times New Roman"/>
            <w:color w:val="auto"/>
            <w:sz w:val="28"/>
            <w:szCs w:val="28"/>
            <w:highlight w:val="white"/>
          </w:rPr>
          <w:t>дом-музей семьи Шевелёвых</w:t>
        </w:r>
      </w:hyperlink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 — целой </w:t>
      </w:r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династии гончаров-игрушечников, которые </w:t>
      </w:r>
      <w:proofErr w:type="gramStart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>занимаются этим ремеслом по сей</w:t>
      </w:r>
      <w:proofErr w:type="gramEnd"/>
      <w:r w:rsidRPr="00AE4A4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день. В музее проводят мастер-классы по лепке и раскрашиванию для всех желающих, а в городской школе искусств детей обучают изготовлению традиционных игрушек.</w:t>
      </w:r>
    </w:p>
    <w:p w:rsidR="00D51949" w:rsidRDefault="00974ABD">
      <w:pPr>
        <w:rPr>
          <w:sz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5940425" cy="420921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5940425" cy="42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1949" w:rsidSect="00D5194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23558"/>
    <w:multiLevelType w:val="multilevel"/>
    <w:tmpl w:val="84369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1949"/>
    <w:rsid w:val="00974ABD"/>
    <w:rsid w:val="00AE4A4A"/>
    <w:rsid w:val="00D51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51949"/>
  </w:style>
  <w:style w:type="paragraph" w:styleId="10">
    <w:name w:val="heading 1"/>
    <w:next w:val="a"/>
    <w:link w:val="11"/>
    <w:uiPriority w:val="9"/>
    <w:qFormat/>
    <w:rsid w:val="00D5194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5194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5194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5194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1949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51949"/>
  </w:style>
  <w:style w:type="paragraph" w:styleId="21">
    <w:name w:val="toc 2"/>
    <w:next w:val="a"/>
    <w:link w:val="22"/>
    <w:uiPriority w:val="39"/>
    <w:rsid w:val="00D5194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5194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5194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194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194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194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194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1949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5194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  <w:rsid w:val="00D51949"/>
  </w:style>
  <w:style w:type="paragraph" w:styleId="a3">
    <w:name w:val="List Paragraph"/>
    <w:basedOn w:val="a"/>
    <w:link w:val="a4"/>
    <w:rsid w:val="00D5194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D51949"/>
  </w:style>
  <w:style w:type="paragraph" w:styleId="31">
    <w:name w:val="toc 3"/>
    <w:next w:val="a"/>
    <w:link w:val="32"/>
    <w:uiPriority w:val="39"/>
    <w:rsid w:val="00D5194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5194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5194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51949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D51949"/>
    <w:rPr>
      <w:color w:val="0000FF"/>
      <w:u w:val="single"/>
    </w:rPr>
  </w:style>
  <w:style w:type="character" w:styleId="a5">
    <w:name w:val="Hyperlink"/>
    <w:link w:val="13"/>
    <w:rsid w:val="00D51949"/>
    <w:rPr>
      <w:color w:val="0000FF"/>
      <w:u w:val="single"/>
    </w:rPr>
  </w:style>
  <w:style w:type="paragraph" w:customStyle="1" w:styleId="Footnote">
    <w:name w:val="Footnote"/>
    <w:link w:val="Footnote0"/>
    <w:rsid w:val="00D51949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5194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5194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5194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51949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5194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5194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194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194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194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5194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1949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D51949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D51949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D5194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D51949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D5194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D5194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194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51949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E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4A4A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s://www.culture.ru/institutes/26174/muzei-masterov-shevelevykh-i-kargopolskoi-glinyanoi-igrushki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www.culture.ru/materials/32913/sovremennye-kalendarnye-prazdniki-russkikh-arkhangelskogo-severa" TargetMode="External"/><Relationship Id="rId17" Type="http://schemas.openxmlformats.org/officeDocument/2006/relationships/image" Target="media/image8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www.culture.ru/materials/162545/ilya-muromec-bogatyr-sily-i-dukha" TargetMode="External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culture.ru/institutes/10361/kargopol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materials/147538/shoping-po-russki-ot-yarmarki-do-gastronoma" TargetMode="External"/><Relationship Id="rId14" Type="http://schemas.openxmlformats.org/officeDocument/2006/relationships/hyperlink" Target="https://www.culture.ru/materials/202210/russkie-narodnye-skazki" TargetMode="External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2023-09-23T09:33:00Z</dcterms:created>
  <dcterms:modified xsi:type="dcterms:W3CDTF">2023-09-23T09:45:00Z</dcterms:modified>
</cp:coreProperties>
</file>